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ADE82E" w14:textId="77777777" w:rsidR="00136983" w:rsidRDefault="00136983" w:rsidP="00136983">
      <w:pPr>
        <w:spacing w:after="0" w:line="240" w:lineRule="auto"/>
        <w:jc w:val="center"/>
        <w:rPr>
          <w:rFonts w:ascii="Tahoma" w:hAnsi="Tahoma" w:cs="Tahoma"/>
          <w:b/>
          <w:bCs/>
        </w:rPr>
      </w:pPr>
      <w:r w:rsidRPr="00F62210">
        <w:rPr>
          <w:rFonts w:ascii="Tahoma" w:hAnsi="Tahoma" w:cs="Tahoma"/>
          <w:b/>
          <w:bCs/>
        </w:rPr>
        <w:t xml:space="preserve">Malaysia 2026: Sustaining Momentum Amid Fiscal Reform, </w:t>
      </w:r>
    </w:p>
    <w:p w14:paraId="38AD5217" w14:textId="6FB4D720" w:rsidR="00327C10" w:rsidRPr="00136983" w:rsidRDefault="00136983" w:rsidP="00136983">
      <w:pPr>
        <w:spacing w:after="0" w:line="240" w:lineRule="auto"/>
        <w:jc w:val="center"/>
        <w:rPr>
          <w:rFonts w:ascii="Tahoma" w:hAnsi="Tahoma" w:cs="Tahoma"/>
        </w:rPr>
      </w:pPr>
      <w:r w:rsidRPr="00F62210">
        <w:rPr>
          <w:rFonts w:ascii="Tahoma" w:hAnsi="Tahoma" w:cs="Tahoma"/>
          <w:b/>
          <w:bCs/>
        </w:rPr>
        <w:t>Green Transition, and Global Uncertainty</w:t>
      </w:r>
      <w:r w:rsidRPr="00F62210">
        <w:rPr>
          <w:rFonts w:ascii="Tahoma" w:hAnsi="Tahoma" w:cs="Tahoma"/>
        </w:rPr>
        <w:br/>
      </w:r>
    </w:p>
    <w:p w14:paraId="02A5F0F3" w14:textId="77777777" w:rsid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Abstract</w:t>
      </w:r>
    </w:p>
    <w:p w14:paraId="3A338E96" w14:textId="77777777" w:rsidR="003964F6" w:rsidRPr="00136983" w:rsidRDefault="003964F6" w:rsidP="00136983">
      <w:pPr>
        <w:spacing w:after="0" w:line="240" w:lineRule="auto"/>
        <w:jc w:val="both"/>
        <w:outlineLvl w:val="2"/>
        <w:rPr>
          <w:rFonts w:ascii="Tahoma" w:eastAsia="Times New Roman" w:hAnsi="Tahoma" w:cs="Tahoma"/>
          <w:b/>
          <w:bCs/>
          <w:kern w:val="0"/>
          <w14:ligatures w14:val="none"/>
        </w:rPr>
      </w:pPr>
    </w:p>
    <w:p w14:paraId="33194D61" w14:textId="77777777"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This article examines the global and Malaysian economic outlook based on major macroeconomic indicators, sectoral developments, and emerging structural trends. Drawing upon recent data from international institutions such as the OECD, IMF, and Bank Negara Malaysia (BNM), the discussion situates Malaysia’s performance within broader global dynamics. The article also presents forward-looking comments for Malaysia’s economic trajectory in 2026, emphasizing the interplay between industrial transformation, fiscal reforms, and external trade diversification.</w:t>
      </w:r>
    </w:p>
    <w:p w14:paraId="6CBA576F" w14:textId="5254B518" w:rsidR="00136983" w:rsidRPr="00136983" w:rsidRDefault="00136983" w:rsidP="00136983">
      <w:pPr>
        <w:spacing w:after="0" w:line="240" w:lineRule="auto"/>
        <w:jc w:val="both"/>
        <w:rPr>
          <w:rFonts w:ascii="Tahoma" w:eastAsia="Times New Roman" w:hAnsi="Tahoma" w:cs="Tahoma"/>
          <w:kern w:val="0"/>
          <w14:ligatures w14:val="none"/>
        </w:rPr>
      </w:pPr>
    </w:p>
    <w:p w14:paraId="43B91BF5" w14:textId="77777777" w:rsidR="00136983" w:rsidRDefault="00136983" w:rsidP="00136983">
      <w:pPr>
        <w:spacing w:after="0" w:line="240" w:lineRule="auto"/>
        <w:jc w:val="both"/>
        <w:outlineLvl w:val="1"/>
        <w:rPr>
          <w:rFonts w:ascii="Tahoma" w:eastAsia="Times New Roman" w:hAnsi="Tahoma" w:cs="Tahoma"/>
          <w:b/>
          <w:bCs/>
          <w:kern w:val="0"/>
          <w14:ligatures w14:val="none"/>
        </w:rPr>
      </w:pPr>
      <w:r w:rsidRPr="00136983">
        <w:rPr>
          <w:rFonts w:ascii="Tahoma" w:eastAsia="Times New Roman" w:hAnsi="Tahoma" w:cs="Tahoma"/>
          <w:b/>
          <w:bCs/>
          <w:kern w:val="0"/>
          <w14:ligatures w14:val="none"/>
        </w:rPr>
        <w:t>1. Introduction</w:t>
      </w:r>
    </w:p>
    <w:p w14:paraId="699AD1D7" w14:textId="77777777" w:rsidR="003964F6" w:rsidRPr="00136983" w:rsidRDefault="003964F6" w:rsidP="00136983">
      <w:pPr>
        <w:spacing w:after="0" w:line="240" w:lineRule="auto"/>
        <w:jc w:val="both"/>
        <w:outlineLvl w:val="1"/>
        <w:rPr>
          <w:rFonts w:ascii="Tahoma" w:eastAsia="Times New Roman" w:hAnsi="Tahoma" w:cs="Tahoma"/>
          <w:b/>
          <w:bCs/>
          <w:kern w:val="0"/>
          <w14:ligatures w14:val="none"/>
        </w:rPr>
      </w:pPr>
    </w:p>
    <w:p w14:paraId="2F726FBB" w14:textId="77777777"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The global economy enters the mid-2020s amid a complex intersection of recovery, realignment, and resilience. Following the shocks of the COVID-19 pandemic and the subsequent inflationary surge, global growth has shown remarkable endurance, largely supported by the strength of labour markets in advanced economies and the sustained momentum in emerging Asia (OECD, 2024). However, the balance between growth and stability remains fragile, as persistent geopolitical tensions, elevated policy rates, and supply chain reconfiguration continue to shape economic outcomes.</w:t>
      </w:r>
    </w:p>
    <w:p w14:paraId="22E12043" w14:textId="77777777" w:rsidR="003964F6" w:rsidRDefault="003964F6" w:rsidP="00136983">
      <w:pPr>
        <w:spacing w:after="0" w:line="240" w:lineRule="auto"/>
        <w:jc w:val="both"/>
        <w:rPr>
          <w:rFonts w:ascii="Tahoma" w:eastAsia="Times New Roman" w:hAnsi="Tahoma" w:cs="Tahoma"/>
          <w:kern w:val="0"/>
          <w14:ligatures w14:val="none"/>
        </w:rPr>
      </w:pPr>
    </w:p>
    <w:p w14:paraId="543517B9" w14:textId="7AF1A202"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Malaysia, as an open and trade-dependent economy, faces both opportunities and vulnerabilities within this evolving global landscape. The nation’s economic performance in 2024 and 2025 has been defined by moderate growth, fiscal consolidation, and structural transformation underpinned by key national blueprints—namely, the New Industrial Master Plan 2030 (NIMP 2030) and the National Energy Transition Roadmap (NETR). Looking toward 2026, Malaysia’s economic outlook depends on how effectively it navigates global headwinds while sustaining its domestic reform momentum.</w:t>
      </w:r>
    </w:p>
    <w:p w14:paraId="13DBF64B" w14:textId="16B441F2" w:rsidR="00136983" w:rsidRPr="00136983" w:rsidRDefault="00136983" w:rsidP="00136983">
      <w:pPr>
        <w:spacing w:after="0" w:line="240" w:lineRule="auto"/>
        <w:jc w:val="both"/>
        <w:rPr>
          <w:rFonts w:ascii="Tahoma" w:eastAsia="Times New Roman" w:hAnsi="Tahoma" w:cs="Tahoma"/>
          <w:kern w:val="0"/>
          <w14:ligatures w14:val="none"/>
        </w:rPr>
      </w:pPr>
    </w:p>
    <w:p w14:paraId="788445CD" w14:textId="77777777" w:rsidR="00136983" w:rsidRPr="00136983" w:rsidRDefault="00136983" w:rsidP="00136983">
      <w:pPr>
        <w:spacing w:after="0" w:line="240" w:lineRule="auto"/>
        <w:jc w:val="both"/>
        <w:outlineLvl w:val="1"/>
        <w:rPr>
          <w:rFonts w:ascii="Tahoma" w:eastAsia="Times New Roman" w:hAnsi="Tahoma" w:cs="Tahoma"/>
          <w:b/>
          <w:bCs/>
          <w:kern w:val="0"/>
          <w14:ligatures w14:val="none"/>
        </w:rPr>
      </w:pPr>
      <w:r w:rsidRPr="00136983">
        <w:rPr>
          <w:rFonts w:ascii="Tahoma" w:eastAsia="Times New Roman" w:hAnsi="Tahoma" w:cs="Tahoma"/>
          <w:b/>
          <w:bCs/>
          <w:kern w:val="0"/>
          <w14:ligatures w14:val="none"/>
        </w:rPr>
        <w:t>2. Global Economic Outlook 2024–2025</w:t>
      </w:r>
    </w:p>
    <w:p w14:paraId="0576D046" w14:textId="77777777"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2.1 Moderate but Resilient Global Growth</w:t>
      </w:r>
    </w:p>
    <w:p w14:paraId="56DF094A" w14:textId="77777777" w:rsidR="00551FE9" w:rsidRDefault="00551FE9" w:rsidP="00136983">
      <w:pPr>
        <w:spacing w:after="0" w:line="240" w:lineRule="auto"/>
        <w:jc w:val="both"/>
        <w:rPr>
          <w:rFonts w:ascii="Tahoma" w:eastAsia="Times New Roman" w:hAnsi="Tahoma" w:cs="Tahoma"/>
          <w:kern w:val="0"/>
          <w14:ligatures w14:val="none"/>
        </w:rPr>
      </w:pPr>
    </w:p>
    <w:p w14:paraId="159CD320" w14:textId="77777777" w:rsidR="00551FE9"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According to the </w:t>
      </w:r>
      <w:r w:rsidRPr="00136983">
        <w:rPr>
          <w:rFonts w:ascii="Tahoma" w:eastAsia="Times New Roman" w:hAnsi="Tahoma" w:cs="Tahoma"/>
          <w:i/>
          <w:iCs/>
          <w:kern w:val="0"/>
          <w14:ligatures w14:val="none"/>
        </w:rPr>
        <w:t>OECD Economic Outlook Interim Report</w:t>
      </w:r>
      <w:r w:rsidRPr="00136983">
        <w:rPr>
          <w:rFonts w:ascii="Tahoma" w:eastAsia="Times New Roman" w:hAnsi="Tahoma" w:cs="Tahoma"/>
          <w:kern w:val="0"/>
          <w14:ligatures w14:val="none"/>
        </w:rPr>
        <w:t xml:space="preserve"> (February 2024), global GDP growth is projected at 2.9% in 2024—an upward revision from earlier estimates. This resilience is underpinned by a strong labour market in the United States, the gradual easing of inflationary pressures, and policy support in emerging markets (OECD, 2024). </w:t>
      </w:r>
    </w:p>
    <w:p w14:paraId="363444DC" w14:textId="77777777" w:rsidR="00551FE9" w:rsidRDefault="00551FE9" w:rsidP="00136983">
      <w:pPr>
        <w:spacing w:after="0" w:line="240" w:lineRule="auto"/>
        <w:jc w:val="both"/>
        <w:rPr>
          <w:rFonts w:ascii="Tahoma" w:eastAsia="Times New Roman" w:hAnsi="Tahoma" w:cs="Tahoma"/>
          <w:kern w:val="0"/>
          <w14:ligatures w14:val="none"/>
        </w:rPr>
      </w:pPr>
    </w:p>
    <w:p w14:paraId="3A20B837" w14:textId="3C5C2640"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Nonetheless, growth across regions remains uneven:</w:t>
      </w:r>
    </w:p>
    <w:p w14:paraId="1447E4F5" w14:textId="77777777" w:rsidR="00136983" w:rsidRPr="00136983" w:rsidRDefault="00136983" w:rsidP="00136983">
      <w:pPr>
        <w:numPr>
          <w:ilvl w:val="0"/>
          <w:numId w:val="1"/>
        </w:num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United States: continues to expand, albeit at a slower pace, driven by consumption and employment gains.</w:t>
      </w:r>
    </w:p>
    <w:p w14:paraId="25274FB7" w14:textId="77777777" w:rsidR="00136983" w:rsidRPr="00136983" w:rsidRDefault="00136983" w:rsidP="00136983">
      <w:pPr>
        <w:numPr>
          <w:ilvl w:val="0"/>
          <w:numId w:val="1"/>
        </w:num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Euro Area: experiences weaker growth due to tight credit conditions and subdued investment.</w:t>
      </w:r>
    </w:p>
    <w:p w14:paraId="7029E89C" w14:textId="77777777" w:rsidR="00136983" w:rsidRPr="00136983" w:rsidRDefault="00136983" w:rsidP="00136983">
      <w:pPr>
        <w:numPr>
          <w:ilvl w:val="0"/>
          <w:numId w:val="1"/>
        </w:num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China: faces structural deceleration, burdened by a property market downturn and weak consumer confidence (IMF, 2024a).</w:t>
      </w:r>
    </w:p>
    <w:p w14:paraId="12CD8D4E" w14:textId="77777777"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lastRenderedPageBreak/>
        <w:t>The slowdown in China’s property sector is a key drag on global demand, with ripple effects on commodity exporters and financial institutions exposed to Chinese assets. The IMF (2024b) anticipates a gradual recovery in 2025 as policy measures take effect, but risks of “longer-for-longer” stagnation persist.</w:t>
      </w:r>
    </w:p>
    <w:p w14:paraId="4432764B" w14:textId="77777777" w:rsidR="00A058BD" w:rsidRDefault="00A058BD" w:rsidP="00136983">
      <w:pPr>
        <w:spacing w:after="0" w:line="240" w:lineRule="auto"/>
        <w:jc w:val="both"/>
        <w:outlineLvl w:val="2"/>
        <w:rPr>
          <w:rFonts w:ascii="Tahoma" w:eastAsia="Times New Roman" w:hAnsi="Tahoma" w:cs="Tahoma"/>
          <w:b/>
          <w:bCs/>
          <w:kern w:val="0"/>
          <w14:ligatures w14:val="none"/>
        </w:rPr>
      </w:pPr>
    </w:p>
    <w:p w14:paraId="72B29AB6" w14:textId="3C131C53"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2.2 Inflation, Interest Rates, and Financial Conditions</w:t>
      </w:r>
    </w:p>
    <w:p w14:paraId="27C4EA84" w14:textId="77777777" w:rsidR="00551FE9" w:rsidRDefault="00551FE9" w:rsidP="00136983">
      <w:pPr>
        <w:spacing w:after="0" w:line="240" w:lineRule="auto"/>
        <w:jc w:val="both"/>
        <w:rPr>
          <w:rFonts w:ascii="Tahoma" w:eastAsia="Times New Roman" w:hAnsi="Tahoma" w:cs="Tahoma"/>
          <w:kern w:val="0"/>
          <w14:ligatures w14:val="none"/>
        </w:rPr>
      </w:pPr>
    </w:p>
    <w:p w14:paraId="48E62CDB" w14:textId="0E427D13"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After peaking in 2022, global inflation has decelerated but remains above target in many economies. The persistence of core inflation has prompted central banks to maintain higher policy rates for an extended period, resulting in tighter financial conditions (World Bank, 2024a). Elevated borrowing costs have restrained corporate credit and slowed household consumption, especially in the Eurozone and North America.</w:t>
      </w:r>
    </w:p>
    <w:p w14:paraId="7B1ED8E2" w14:textId="77777777" w:rsidR="00551FE9" w:rsidRDefault="00551FE9" w:rsidP="00136983">
      <w:pPr>
        <w:spacing w:after="0" w:line="240" w:lineRule="auto"/>
        <w:jc w:val="both"/>
        <w:rPr>
          <w:rFonts w:ascii="Tahoma" w:eastAsia="Times New Roman" w:hAnsi="Tahoma" w:cs="Tahoma"/>
          <w:kern w:val="0"/>
          <w14:ligatures w14:val="none"/>
        </w:rPr>
      </w:pPr>
    </w:p>
    <w:p w14:paraId="4153A766" w14:textId="48658EAA"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For the banking sector, rising non-performing loans in select Asian markets, notably China and Vietnam, highlight ongoing financial vulnerabilities. Conversely, global insurers have benefited from premium hardening and higher investment yields, particularly in advanced markets such as the U.S., U.K., and Japan (Swiss Re Institute, 2023).</w:t>
      </w:r>
    </w:p>
    <w:p w14:paraId="0A60AD77" w14:textId="77777777" w:rsidR="00551FE9" w:rsidRDefault="00551FE9" w:rsidP="00136983">
      <w:pPr>
        <w:spacing w:after="0" w:line="240" w:lineRule="auto"/>
        <w:jc w:val="both"/>
        <w:outlineLvl w:val="2"/>
        <w:rPr>
          <w:rFonts w:ascii="Tahoma" w:eastAsia="Times New Roman" w:hAnsi="Tahoma" w:cs="Tahoma"/>
          <w:b/>
          <w:bCs/>
          <w:kern w:val="0"/>
          <w14:ligatures w14:val="none"/>
        </w:rPr>
      </w:pPr>
    </w:p>
    <w:p w14:paraId="4149C5BA" w14:textId="69736117"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2.3 Structural Shifts in Trade and Industry</w:t>
      </w:r>
    </w:p>
    <w:p w14:paraId="14586237" w14:textId="77777777" w:rsidR="00551FE9" w:rsidRDefault="00551FE9" w:rsidP="00136983">
      <w:pPr>
        <w:spacing w:after="0" w:line="240" w:lineRule="auto"/>
        <w:jc w:val="both"/>
        <w:rPr>
          <w:rFonts w:ascii="Tahoma" w:eastAsia="Times New Roman" w:hAnsi="Tahoma" w:cs="Tahoma"/>
          <w:kern w:val="0"/>
          <w14:ligatures w14:val="none"/>
        </w:rPr>
      </w:pPr>
    </w:p>
    <w:p w14:paraId="463349F6" w14:textId="39EB563E"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The global trade architecture is undergoing realignment amid heightened geo-economic fragmentation. Trade tensions, reshoring, and regionalisation have prompted economies to diversify markets and supply chains. Asia remains the anchor of global growth, contributing over 60% of global output expansion (IMF, 2024b). However, the region’s growth will increasingly hinge on technological adaptation, energy transition, and demographic shifts rather than traditional export-led strategies.</w:t>
      </w:r>
    </w:p>
    <w:p w14:paraId="38A93098" w14:textId="1DBC9BB8" w:rsidR="00136983" w:rsidRPr="00136983" w:rsidRDefault="00136983" w:rsidP="00136983">
      <w:pPr>
        <w:spacing w:after="0" w:line="240" w:lineRule="auto"/>
        <w:jc w:val="both"/>
        <w:rPr>
          <w:rFonts w:ascii="Tahoma" w:eastAsia="Times New Roman" w:hAnsi="Tahoma" w:cs="Tahoma"/>
          <w:kern w:val="0"/>
          <w14:ligatures w14:val="none"/>
        </w:rPr>
      </w:pPr>
    </w:p>
    <w:p w14:paraId="4DBA02F9" w14:textId="77777777" w:rsidR="00136983" w:rsidRPr="00136983" w:rsidRDefault="00136983" w:rsidP="00136983">
      <w:pPr>
        <w:spacing w:after="0" w:line="240" w:lineRule="auto"/>
        <w:jc w:val="both"/>
        <w:outlineLvl w:val="1"/>
        <w:rPr>
          <w:rFonts w:ascii="Tahoma" w:eastAsia="Times New Roman" w:hAnsi="Tahoma" w:cs="Tahoma"/>
          <w:b/>
          <w:bCs/>
          <w:kern w:val="0"/>
          <w14:ligatures w14:val="none"/>
        </w:rPr>
      </w:pPr>
      <w:r w:rsidRPr="00136983">
        <w:rPr>
          <w:rFonts w:ascii="Tahoma" w:eastAsia="Times New Roman" w:hAnsi="Tahoma" w:cs="Tahoma"/>
          <w:b/>
          <w:bCs/>
          <w:kern w:val="0"/>
          <w14:ligatures w14:val="none"/>
        </w:rPr>
        <w:t>3. Malaysian Economic Outlook 2025</w:t>
      </w:r>
    </w:p>
    <w:p w14:paraId="7410D66E" w14:textId="77777777"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3.1 Macroeconomic Performance</w:t>
      </w:r>
    </w:p>
    <w:p w14:paraId="02D4CB4B" w14:textId="77777777" w:rsidR="00551FE9" w:rsidRDefault="00551FE9" w:rsidP="00136983">
      <w:pPr>
        <w:spacing w:after="0" w:line="240" w:lineRule="auto"/>
        <w:jc w:val="both"/>
        <w:rPr>
          <w:rFonts w:ascii="Tahoma" w:eastAsia="Times New Roman" w:hAnsi="Tahoma" w:cs="Tahoma"/>
          <w:kern w:val="0"/>
          <w14:ligatures w14:val="none"/>
        </w:rPr>
      </w:pPr>
    </w:p>
    <w:p w14:paraId="44FF4135" w14:textId="70EE58E2"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Malaysia’s GDP growth moderated from 8.7% in 2022 to 3.7% in 2023, reflecting external demand weakness and inventory adjustments in the electronics sector. For 2024, the economy is expected to expand by 4.3%, supported by robust domestic demand, improving labour market conditions, and targeted fiscal support (BNM, 2024a). The growth outlook for 2025 remains slightly higher at 4.4%, suggesting continued recovery momentum (IMF, 2024a).</w:t>
      </w:r>
    </w:p>
    <w:p w14:paraId="48EB9831" w14:textId="77777777" w:rsidR="00551FE9" w:rsidRPr="00551FE9" w:rsidRDefault="00551FE9" w:rsidP="00136983">
      <w:pPr>
        <w:spacing w:after="0" w:line="240" w:lineRule="auto"/>
        <w:jc w:val="both"/>
        <w:rPr>
          <w:rFonts w:ascii="Tahoma" w:eastAsia="Times New Roman" w:hAnsi="Tahoma" w:cs="Tahoma"/>
          <w:kern w:val="0"/>
          <w14:ligatures w14:val="none"/>
        </w:rPr>
      </w:pPr>
    </w:p>
    <w:p w14:paraId="0F7562DA" w14:textId="3887B305"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Private consumption remains the anchor of growth, accounting for over 58% of GDP, bolstered by wage increases and stable employment. The services sector continues to drive output, underpinned by tourism recovery and digitalisation in logistics and finance. Meanwhile, the manufacturing sector is anticipated to rebound in the second half of 2024 following a global technology upcycle, particularly in semiconductors.</w:t>
      </w:r>
    </w:p>
    <w:p w14:paraId="08277370" w14:textId="77777777" w:rsidR="00551FE9" w:rsidRDefault="00551FE9" w:rsidP="00136983">
      <w:pPr>
        <w:spacing w:after="0" w:line="240" w:lineRule="auto"/>
        <w:jc w:val="both"/>
        <w:outlineLvl w:val="2"/>
        <w:rPr>
          <w:rFonts w:ascii="Tahoma" w:eastAsia="Times New Roman" w:hAnsi="Tahoma" w:cs="Tahoma"/>
          <w:b/>
          <w:bCs/>
          <w:kern w:val="0"/>
          <w14:ligatures w14:val="none"/>
        </w:rPr>
      </w:pPr>
    </w:p>
    <w:p w14:paraId="26DB2D69" w14:textId="77777777" w:rsidR="00551FE9" w:rsidRDefault="00551FE9" w:rsidP="00136983">
      <w:pPr>
        <w:spacing w:after="0" w:line="240" w:lineRule="auto"/>
        <w:jc w:val="both"/>
        <w:outlineLvl w:val="2"/>
        <w:rPr>
          <w:rFonts w:ascii="Tahoma" w:eastAsia="Times New Roman" w:hAnsi="Tahoma" w:cs="Tahoma"/>
          <w:b/>
          <w:bCs/>
          <w:kern w:val="0"/>
          <w14:ligatures w14:val="none"/>
        </w:rPr>
      </w:pPr>
    </w:p>
    <w:p w14:paraId="13228359" w14:textId="77777777" w:rsidR="00551FE9" w:rsidRDefault="00551FE9" w:rsidP="00136983">
      <w:pPr>
        <w:spacing w:after="0" w:line="240" w:lineRule="auto"/>
        <w:jc w:val="both"/>
        <w:outlineLvl w:val="2"/>
        <w:rPr>
          <w:rFonts w:ascii="Tahoma" w:eastAsia="Times New Roman" w:hAnsi="Tahoma" w:cs="Tahoma"/>
          <w:b/>
          <w:bCs/>
          <w:kern w:val="0"/>
          <w14:ligatures w14:val="none"/>
        </w:rPr>
      </w:pPr>
    </w:p>
    <w:p w14:paraId="1247CE86" w14:textId="77777777" w:rsidR="00551FE9" w:rsidRDefault="00551FE9" w:rsidP="00136983">
      <w:pPr>
        <w:spacing w:after="0" w:line="240" w:lineRule="auto"/>
        <w:jc w:val="both"/>
        <w:outlineLvl w:val="2"/>
        <w:rPr>
          <w:rFonts w:ascii="Tahoma" w:eastAsia="Times New Roman" w:hAnsi="Tahoma" w:cs="Tahoma"/>
          <w:b/>
          <w:bCs/>
          <w:kern w:val="0"/>
          <w14:ligatures w14:val="none"/>
        </w:rPr>
      </w:pPr>
    </w:p>
    <w:p w14:paraId="255DFB72" w14:textId="113A6453"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lastRenderedPageBreak/>
        <w:t>3.2 Inflation, Monetary, and Fiscal Outlook</w:t>
      </w:r>
    </w:p>
    <w:p w14:paraId="21840B60" w14:textId="77777777"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Malaysia’s inflation has remained relatively contained, averaging 2.5–3% in 2024, though upward pressures may arise from </w:t>
      </w:r>
      <w:r w:rsidRPr="00136983">
        <w:rPr>
          <w:rFonts w:ascii="Tahoma" w:eastAsia="Times New Roman" w:hAnsi="Tahoma" w:cs="Tahoma"/>
          <w:b/>
          <w:bCs/>
          <w:kern w:val="0"/>
          <w14:ligatures w14:val="none"/>
        </w:rPr>
        <w:t>phased subsidy rationalisation and indirect tax adjustments</w:t>
      </w:r>
      <w:r w:rsidRPr="00136983">
        <w:rPr>
          <w:rFonts w:ascii="Tahoma" w:eastAsia="Times New Roman" w:hAnsi="Tahoma" w:cs="Tahoma"/>
          <w:kern w:val="0"/>
          <w14:ligatures w14:val="none"/>
        </w:rPr>
        <w:t xml:space="preserve"> under the fiscal reform agenda. The reintroduction of the </w:t>
      </w:r>
      <w:r w:rsidRPr="00136983">
        <w:rPr>
          <w:rFonts w:ascii="Tahoma" w:eastAsia="Times New Roman" w:hAnsi="Tahoma" w:cs="Tahoma"/>
          <w:b/>
          <w:bCs/>
          <w:kern w:val="0"/>
          <w14:ligatures w14:val="none"/>
        </w:rPr>
        <w:t>Sales and Service Tax (SST)</w:t>
      </w:r>
      <w:r w:rsidRPr="00136983">
        <w:rPr>
          <w:rFonts w:ascii="Tahoma" w:eastAsia="Times New Roman" w:hAnsi="Tahoma" w:cs="Tahoma"/>
          <w:kern w:val="0"/>
          <w14:ligatures w14:val="none"/>
        </w:rPr>
        <w:t xml:space="preserve"> expansion and targeted subsidies for fuel and electricity could marginally raise headline inflation to around 3.3% in 2025 (World Bank, 2024b).</w:t>
      </w:r>
    </w:p>
    <w:p w14:paraId="61B515E0" w14:textId="77777777"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On the monetary front, </w:t>
      </w:r>
      <w:r w:rsidRPr="00136983">
        <w:rPr>
          <w:rFonts w:ascii="Tahoma" w:eastAsia="Times New Roman" w:hAnsi="Tahoma" w:cs="Tahoma"/>
          <w:b/>
          <w:bCs/>
          <w:kern w:val="0"/>
          <w14:ligatures w14:val="none"/>
        </w:rPr>
        <w:t>Bank Negara Malaysia (BNM)</w:t>
      </w:r>
      <w:r w:rsidRPr="00136983">
        <w:rPr>
          <w:rFonts w:ascii="Tahoma" w:eastAsia="Times New Roman" w:hAnsi="Tahoma" w:cs="Tahoma"/>
          <w:kern w:val="0"/>
          <w14:ligatures w14:val="none"/>
        </w:rPr>
        <w:t xml:space="preserve"> has maintained its Overnight Policy Rate (OPR) at 3.00% since 2023 to anchor inflation expectations and support sustainable growth. Fiscal consolidation remains a priority, with the </w:t>
      </w:r>
      <w:r w:rsidRPr="00136983">
        <w:rPr>
          <w:rFonts w:ascii="Tahoma" w:eastAsia="Times New Roman" w:hAnsi="Tahoma" w:cs="Tahoma"/>
          <w:b/>
          <w:bCs/>
          <w:kern w:val="0"/>
          <w14:ligatures w14:val="none"/>
        </w:rPr>
        <w:t>fiscal deficit targeted to narrow</w:t>
      </w:r>
      <w:r w:rsidRPr="00136983">
        <w:rPr>
          <w:rFonts w:ascii="Tahoma" w:eastAsia="Times New Roman" w:hAnsi="Tahoma" w:cs="Tahoma"/>
          <w:kern w:val="0"/>
          <w14:ligatures w14:val="none"/>
        </w:rPr>
        <w:t xml:space="preserve"> from 5% of GDP in 2023 to below 4% by 2025, supported by improved revenue efficiency and expenditure rationalisation (Ministry of Finance Malaysia, 2024).</w:t>
      </w:r>
    </w:p>
    <w:p w14:paraId="7B150E75" w14:textId="77777777"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3.3 Sectoral Outlook</w:t>
      </w:r>
    </w:p>
    <w:p w14:paraId="65D9D6E7" w14:textId="77777777" w:rsidR="00551FE9" w:rsidRDefault="00551FE9" w:rsidP="00136983">
      <w:pPr>
        <w:spacing w:after="0" w:line="240" w:lineRule="auto"/>
        <w:jc w:val="both"/>
        <w:outlineLvl w:val="3"/>
        <w:rPr>
          <w:rFonts w:ascii="Tahoma" w:eastAsia="Times New Roman" w:hAnsi="Tahoma" w:cs="Tahoma"/>
          <w:b/>
          <w:bCs/>
          <w:kern w:val="0"/>
          <w14:ligatures w14:val="none"/>
        </w:rPr>
      </w:pPr>
    </w:p>
    <w:p w14:paraId="71D8A7C5" w14:textId="67CAB049" w:rsidR="00136983" w:rsidRPr="00136983" w:rsidRDefault="00136983" w:rsidP="00136983">
      <w:pPr>
        <w:spacing w:after="0" w:line="240" w:lineRule="auto"/>
        <w:jc w:val="both"/>
        <w:outlineLvl w:val="3"/>
        <w:rPr>
          <w:rFonts w:ascii="Tahoma" w:eastAsia="Times New Roman" w:hAnsi="Tahoma" w:cs="Tahoma"/>
          <w:b/>
          <w:bCs/>
          <w:kern w:val="0"/>
          <w14:ligatures w14:val="none"/>
        </w:rPr>
      </w:pPr>
      <w:r w:rsidRPr="00136983">
        <w:rPr>
          <w:rFonts w:ascii="Tahoma" w:eastAsia="Times New Roman" w:hAnsi="Tahoma" w:cs="Tahoma"/>
          <w:b/>
          <w:bCs/>
          <w:kern w:val="0"/>
          <w14:ligatures w14:val="none"/>
        </w:rPr>
        <w:t>Manufacturing and Industry</w:t>
      </w:r>
    </w:p>
    <w:p w14:paraId="635531E9" w14:textId="77777777" w:rsidR="00775A65" w:rsidRDefault="00775A65" w:rsidP="00136983">
      <w:pPr>
        <w:spacing w:after="0" w:line="240" w:lineRule="auto"/>
        <w:jc w:val="both"/>
        <w:rPr>
          <w:rFonts w:ascii="Tahoma" w:eastAsia="Times New Roman" w:hAnsi="Tahoma" w:cs="Tahoma"/>
          <w:kern w:val="0"/>
          <w14:ligatures w14:val="none"/>
        </w:rPr>
      </w:pPr>
    </w:p>
    <w:p w14:paraId="1FA927C8" w14:textId="121D31C8"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The New Industrial Master Plan 2030 (NIMP 2030) outlines Malaysia’s vision to transform its industrial base through higher complexity, digitalisation, and sustainability (MITI, 2023). Priority sectors include aerospace, chemicals, E&amp;E, pharmaceuticals, and medical devices. New growth clusters—such as advanced materials, electric vehicles (EVs), renewable energy, and carbon capture, utilisation, and storage (CCUS)—are positioned as future drivers of high-value investment and export diversification.</w:t>
      </w:r>
    </w:p>
    <w:p w14:paraId="08BE2464" w14:textId="77777777" w:rsidR="00775A65" w:rsidRDefault="00775A65" w:rsidP="00136983">
      <w:pPr>
        <w:spacing w:after="0" w:line="240" w:lineRule="auto"/>
        <w:jc w:val="both"/>
        <w:outlineLvl w:val="3"/>
        <w:rPr>
          <w:rFonts w:ascii="Tahoma" w:eastAsia="Times New Roman" w:hAnsi="Tahoma" w:cs="Tahoma"/>
          <w:b/>
          <w:bCs/>
          <w:kern w:val="0"/>
          <w14:ligatures w14:val="none"/>
        </w:rPr>
      </w:pPr>
    </w:p>
    <w:p w14:paraId="3767D6D5" w14:textId="5668ACE8" w:rsidR="00136983" w:rsidRPr="00136983" w:rsidRDefault="00136983" w:rsidP="00136983">
      <w:pPr>
        <w:spacing w:after="0" w:line="240" w:lineRule="auto"/>
        <w:jc w:val="both"/>
        <w:outlineLvl w:val="3"/>
        <w:rPr>
          <w:rFonts w:ascii="Tahoma" w:eastAsia="Times New Roman" w:hAnsi="Tahoma" w:cs="Tahoma"/>
          <w:b/>
          <w:bCs/>
          <w:kern w:val="0"/>
          <w14:ligatures w14:val="none"/>
        </w:rPr>
      </w:pPr>
      <w:r w:rsidRPr="00136983">
        <w:rPr>
          <w:rFonts w:ascii="Tahoma" w:eastAsia="Times New Roman" w:hAnsi="Tahoma" w:cs="Tahoma"/>
          <w:b/>
          <w:bCs/>
          <w:kern w:val="0"/>
          <w14:ligatures w14:val="none"/>
        </w:rPr>
        <w:t>Energy and Sustainability</w:t>
      </w:r>
    </w:p>
    <w:p w14:paraId="3AF9ED55" w14:textId="77777777" w:rsidR="00BE463E" w:rsidRDefault="00BE463E" w:rsidP="00136983">
      <w:pPr>
        <w:spacing w:after="0" w:line="240" w:lineRule="auto"/>
        <w:jc w:val="both"/>
        <w:rPr>
          <w:rFonts w:ascii="Tahoma" w:eastAsia="Times New Roman" w:hAnsi="Tahoma" w:cs="Tahoma"/>
          <w:kern w:val="0"/>
          <w14:ligatures w14:val="none"/>
        </w:rPr>
      </w:pPr>
    </w:p>
    <w:p w14:paraId="25A9858B" w14:textId="04FEB888"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The National Energy Transition Roadmap (NETR) complements NIMP 2030 by focusing on six strategic levers: energy efficiency, renewable energy, hydrogen, bioenergy, green mobility, and CCUS. Malaysia targets 70% renewable energy capacity by 2050, requiring an estimated USD 135 billion in cumulative investment (KETSA, 2024). This transition presents opportunities for private-public collaboration and green financing, aligning with ESG and SDG agendas.</w:t>
      </w:r>
    </w:p>
    <w:p w14:paraId="6436DFA9" w14:textId="77777777" w:rsidR="00BE463E" w:rsidRDefault="00BE463E" w:rsidP="00136983">
      <w:pPr>
        <w:spacing w:after="0" w:line="240" w:lineRule="auto"/>
        <w:jc w:val="both"/>
        <w:outlineLvl w:val="3"/>
        <w:rPr>
          <w:rFonts w:ascii="Tahoma" w:eastAsia="Times New Roman" w:hAnsi="Tahoma" w:cs="Tahoma"/>
          <w:b/>
          <w:bCs/>
          <w:kern w:val="0"/>
          <w14:ligatures w14:val="none"/>
        </w:rPr>
      </w:pPr>
    </w:p>
    <w:p w14:paraId="7374E901" w14:textId="2112AB00" w:rsidR="00136983" w:rsidRPr="00136983" w:rsidRDefault="00136983" w:rsidP="00136983">
      <w:pPr>
        <w:spacing w:after="0" w:line="240" w:lineRule="auto"/>
        <w:jc w:val="both"/>
        <w:outlineLvl w:val="3"/>
        <w:rPr>
          <w:rFonts w:ascii="Tahoma" w:eastAsia="Times New Roman" w:hAnsi="Tahoma" w:cs="Tahoma"/>
          <w:b/>
          <w:bCs/>
          <w:kern w:val="0"/>
          <w14:ligatures w14:val="none"/>
        </w:rPr>
      </w:pPr>
      <w:r w:rsidRPr="00136983">
        <w:rPr>
          <w:rFonts w:ascii="Tahoma" w:eastAsia="Times New Roman" w:hAnsi="Tahoma" w:cs="Tahoma"/>
          <w:b/>
          <w:bCs/>
          <w:kern w:val="0"/>
          <w14:ligatures w14:val="none"/>
        </w:rPr>
        <w:t>Digital and Data Economy</w:t>
      </w:r>
    </w:p>
    <w:p w14:paraId="4CDD2DEE" w14:textId="77777777" w:rsidR="00BE463E" w:rsidRDefault="00BE463E" w:rsidP="00136983">
      <w:pPr>
        <w:spacing w:after="0" w:line="240" w:lineRule="auto"/>
        <w:jc w:val="both"/>
        <w:rPr>
          <w:rFonts w:ascii="Tahoma" w:eastAsia="Times New Roman" w:hAnsi="Tahoma" w:cs="Tahoma"/>
          <w:kern w:val="0"/>
          <w14:ligatures w14:val="none"/>
        </w:rPr>
      </w:pPr>
    </w:p>
    <w:p w14:paraId="671BBE73" w14:textId="64B69E20"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Malaysia has emerged as a regional data centre hub, attracting investments from Microsoft, Google, Amazon Web Services, and Oracle. With abundant land, competitive energy tariffs, and stable connectivity, Malaysia is now Southeast Asia’s second-largest data-centre market after Indonesia. The government’s challenge lies in ensuring the sector’s sustainability and talent upgrading, given its high electricity and water intensity.</w:t>
      </w:r>
    </w:p>
    <w:p w14:paraId="541F8599" w14:textId="77777777" w:rsidR="00BE463E" w:rsidRDefault="00BE463E" w:rsidP="00136983">
      <w:pPr>
        <w:spacing w:after="0" w:line="240" w:lineRule="auto"/>
        <w:jc w:val="both"/>
        <w:outlineLvl w:val="3"/>
        <w:rPr>
          <w:rFonts w:ascii="Tahoma" w:eastAsia="Times New Roman" w:hAnsi="Tahoma" w:cs="Tahoma"/>
          <w:b/>
          <w:bCs/>
          <w:kern w:val="0"/>
          <w14:ligatures w14:val="none"/>
        </w:rPr>
      </w:pPr>
    </w:p>
    <w:p w14:paraId="2E6641FB" w14:textId="5D59ABC5" w:rsidR="00136983" w:rsidRPr="00136983" w:rsidRDefault="00136983" w:rsidP="00136983">
      <w:pPr>
        <w:spacing w:after="0" w:line="240" w:lineRule="auto"/>
        <w:jc w:val="both"/>
        <w:outlineLvl w:val="3"/>
        <w:rPr>
          <w:rFonts w:ascii="Tahoma" w:eastAsia="Times New Roman" w:hAnsi="Tahoma" w:cs="Tahoma"/>
          <w:b/>
          <w:bCs/>
          <w:kern w:val="0"/>
          <w14:ligatures w14:val="none"/>
        </w:rPr>
      </w:pPr>
      <w:r w:rsidRPr="00136983">
        <w:rPr>
          <w:rFonts w:ascii="Tahoma" w:eastAsia="Times New Roman" w:hAnsi="Tahoma" w:cs="Tahoma"/>
          <w:b/>
          <w:bCs/>
          <w:kern w:val="0"/>
          <w14:ligatures w14:val="none"/>
        </w:rPr>
        <w:t>Services and Tourism</w:t>
      </w:r>
    </w:p>
    <w:p w14:paraId="37371D07" w14:textId="77777777" w:rsidR="00BE463E" w:rsidRDefault="00BE463E" w:rsidP="00136983">
      <w:pPr>
        <w:spacing w:after="0" w:line="240" w:lineRule="auto"/>
        <w:jc w:val="both"/>
        <w:rPr>
          <w:rFonts w:ascii="Tahoma" w:eastAsia="Times New Roman" w:hAnsi="Tahoma" w:cs="Tahoma"/>
          <w:kern w:val="0"/>
          <w14:ligatures w14:val="none"/>
        </w:rPr>
      </w:pPr>
    </w:p>
    <w:p w14:paraId="23FE0BDC" w14:textId="61E20718"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Tourism revenue exceeded USD 435 million in 2023, with 1.3 million international medical tourists seeking treatment in Malaysia’s world-class healthcare facilities (Tourism Malaysia, 2024). The recovery of medical tourism strengthens related sectors </w:t>
      </w:r>
      <w:r w:rsidRPr="00136983">
        <w:rPr>
          <w:rFonts w:ascii="Tahoma" w:eastAsia="Times New Roman" w:hAnsi="Tahoma" w:cs="Tahoma"/>
          <w:kern w:val="0"/>
          <w14:ligatures w14:val="none"/>
        </w:rPr>
        <w:lastRenderedPageBreak/>
        <w:t>such as pharmaceuticals and medical devices, aligning with Malaysia’s push toward a health-tech economy under NIMP 2030.</w:t>
      </w:r>
    </w:p>
    <w:p w14:paraId="54E14A08" w14:textId="77777777" w:rsidR="00BE463E" w:rsidRDefault="00BE463E" w:rsidP="00136983">
      <w:pPr>
        <w:spacing w:after="0" w:line="240" w:lineRule="auto"/>
        <w:jc w:val="both"/>
        <w:outlineLvl w:val="3"/>
        <w:rPr>
          <w:rFonts w:ascii="Tahoma" w:eastAsia="Times New Roman" w:hAnsi="Tahoma" w:cs="Tahoma"/>
          <w:b/>
          <w:bCs/>
          <w:kern w:val="0"/>
          <w14:ligatures w14:val="none"/>
        </w:rPr>
      </w:pPr>
    </w:p>
    <w:p w14:paraId="6419A9F2" w14:textId="58552109" w:rsidR="00136983" w:rsidRPr="00136983" w:rsidRDefault="00136983" w:rsidP="00136983">
      <w:pPr>
        <w:spacing w:after="0" w:line="240" w:lineRule="auto"/>
        <w:jc w:val="both"/>
        <w:outlineLvl w:val="3"/>
        <w:rPr>
          <w:rFonts w:ascii="Tahoma" w:eastAsia="Times New Roman" w:hAnsi="Tahoma" w:cs="Tahoma"/>
          <w:b/>
          <w:bCs/>
          <w:kern w:val="0"/>
          <w14:ligatures w14:val="none"/>
        </w:rPr>
      </w:pPr>
      <w:r w:rsidRPr="00136983">
        <w:rPr>
          <w:rFonts w:ascii="Tahoma" w:eastAsia="Times New Roman" w:hAnsi="Tahoma" w:cs="Tahoma"/>
          <w:b/>
          <w:bCs/>
          <w:kern w:val="0"/>
          <w14:ligatures w14:val="none"/>
        </w:rPr>
        <w:t>Trade and External Sector</w:t>
      </w:r>
    </w:p>
    <w:p w14:paraId="2D6AEF3B" w14:textId="77777777" w:rsidR="00BE463E" w:rsidRDefault="00BE463E" w:rsidP="00136983">
      <w:pPr>
        <w:spacing w:after="0" w:line="240" w:lineRule="auto"/>
        <w:jc w:val="both"/>
        <w:rPr>
          <w:rFonts w:ascii="Tahoma" w:eastAsia="Times New Roman" w:hAnsi="Tahoma" w:cs="Tahoma"/>
          <w:kern w:val="0"/>
          <w14:ligatures w14:val="none"/>
        </w:rPr>
      </w:pPr>
    </w:p>
    <w:p w14:paraId="47999D81" w14:textId="5861724E" w:rsid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Malaysia’s export diversification strategy is advancing through a network of 18 Free Trade Agreements (FTAs)—nine bilateral and nine regional. The recent agreements with the United Arab Emirates (2025) and the European Free Trade Association (EFTA, 2025) expand Malaysia’s market access to the Middle East and Europe. The ongoing Johor-Singapore Special Economic Zone (JS-SEZ), launched in January 2024, further enhances cross-border integration by facilitating freer movement of goods, services, and talent.</w:t>
      </w:r>
    </w:p>
    <w:p w14:paraId="47CD8C35" w14:textId="77777777" w:rsidR="00771C51" w:rsidRPr="00136983" w:rsidRDefault="00771C51" w:rsidP="00136983">
      <w:pPr>
        <w:spacing w:after="0" w:line="240" w:lineRule="auto"/>
        <w:jc w:val="both"/>
        <w:rPr>
          <w:rFonts w:ascii="Tahoma" w:eastAsia="Times New Roman" w:hAnsi="Tahoma" w:cs="Tahoma"/>
          <w:kern w:val="0"/>
          <w14:ligatures w14:val="none"/>
        </w:rPr>
      </w:pPr>
    </w:p>
    <w:p w14:paraId="6B3C299D" w14:textId="77777777"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However, external risks remain. The U.S. Reciprocal Tariff Rate increase to 25% in 2025 places Malaysia in a less competitive position compared to peers such as Vietnam and Indonesia. Negotiations with the United States on tariff adjustments, trade deficit reduction, and technology cooperation will determine Malaysia’s export resilience in 2026.</w:t>
      </w:r>
    </w:p>
    <w:p w14:paraId="7E155E5F" w14:textId="33889A35" w:rsidR="00136983" w:rsidRPr="00136983" w:rsidRDefault="00136983" w:rsidP="00136983">
      <w:pPr>
        <w:spacing w:after="0" w:line="240" w:lineRule="auto"/>
        <w:jc w:val="both"/>
        <w:rPr>
          <w:rFonts w:ascii="Tahoma" w:eastAsia="Times New Roman" w:hAnsi="Tahoma" w:cs="Tahoma"/>
          <w:kern w:val="0"/>
          <w14:ligatures w14:val="none"/>
        </w:rPr>
      </w:pPr>
    </w:p>
    <w:p w14:paraId="14D269E9" w14:textId="77777777" w:rsidR="00136983" w:rsidRPr="00136983" w:rsidRDefault="00136983" w:rsidP="00136983">
      <w:pPr>
        <w:spacing w:after="0" w:line="240" w:lineRule="auto"/>
        <w:jc w:val="both"/>
        <w:outlineLvl w:val="1"/>
        <w:rPr>
          <w:rFonts w:ascii="Tahoma" w:eastAsia="Times New Roman" w:hAnsi="Tahoma" w:cs="Tahoma"/>
          <w:b/>
          <w:bCs/>
          <w:kern w:val="0"/>
          <w14:ligatures w14:val="none"/>
        </w:rPr>
      </w:pPr>
      <w:r w:rsidRPr="00136983">
        <w:rPr>
          <w:rFonts w:ascii="Tahoma" w:eastAsia="Times New Roman" w:hAnsi="Tahoma" w:cs="Tahoma"/>
          <w:b/>
          <w:bCs/>
          <w:kern w:val="0"/>
          <w14:ligatures w14:val="none"/>
        </w:rPr>
        <w:t>4. Emerging Sectoral Trends and Financial Stability</w:t>
      </w:r>
    </w:p>
    <w:p w14:paraId="6735CBCF" w14:textId="77777777"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4.1 Global Banking and Credit Conditions</w:t>
      </w:r>
    </w:p>
    <w:p w14:paraId="40F4C234" w14:textId="77777777" w:rsidR="0093295C" w:rsidRDefault="0093295C" w:rsidP="00136983">
      <w:pPr>
        <w:spacing w:after="0" w:line="240" w:lineRule="auto"/>
        <w:jc w:val="both"/>
        <w:rPr>
          <w:rFonts w:ascii="Tahoma" w:eastAsia="Times New Roman" w:hAnsi="Tahoma" w:cs="Tahoma"/>
          <w:kern w:val="0"/>
          <w14:ligatures w14:val="none"/>
        </w:rPr>
      </w:pPr>
    </w:p>
    <w:p w14:paraId="15D8BEEF" w14:textId="03C53E54"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Global banks maintained stable ratings through late 2023 despite tightening loan standards and weakening credit demand, especially in the Euro area and the U.S. In Asia-Pacific, loan demand was highest in China, Australia, and South Korea, while India experienced a surge exceeding 75% year-on-year (S&amp;P Global Ratings, 2024). For Malaysia, cautious credit expansion and prudent provisioning remain critical to contain asset quality risks amid subsidy reform and high household leverage.</w:t>
      </w:r>
    </w:p>
    <w:p w14:paraId="7580456B" w14:textId="77777777" w:rsidR="0093295C" w:rsidRDefault="0093295C" w:rsidP="00136983">
      <w:pPr>
        <w:spacing w:after="0" w:line="240" w:lineRule="auto"/>
        <w:jc w:val="both"/>
        <w:outlineLvl w:val="2"/>
        <w:rPr>
          <w:rFonts w:ascii="Tahoma" w:eastAsia="Times New Roman" w:hAnsi="Tahoma" w:cs="Tahoma"/>
          <w:b/>
          <w:bCs/>
          <w:kern w:val="0"/>
          <w14:ligatures w14:val="none"/>
        </w:rPr>
      </w:pPr>
    </w:p>
    <w:p w14:paraId="37219E88" w14:textId="08CB2CBF"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4.2 Insurance Sector Transformation</w:t>
      </w:r>
    </w:p>
    <w:p w14:paraId="3306832C" w14:textId="77777777" w:rsidR="0093295C" w:rsidRDefault="0093295C" w:rsidP="00136983">
      <w:pPr>
        <w:spacing w:after="0" w:line="240" w:lineRule="auto"/>
        <w:jc w:val="both"/>
        <w:rPr>
          <w:rFonts w:ascii="Tahoma" w:eastAsia="Times New Roman" w:hAnsi="Tahoma" w:cs="Tahoma"/>
          <w:kern w:val="0"/>
          <w14:ligatures w14:val="none"/>
        </w:rPr>
      </w:pPr>
    </w:p>
    <w:p w14:paraId="1FCB9ABB" w14:textId="54F41640"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The global insurance market shows positive momentum. Total global premiums are forecasted to grow steadily, driven by the non-life segment, particularly property and motor insurance. Malaysia’s insurance industry is also evolving with rising demand for risk protection and captive insurance solutions, notably in cyber, health, and environmental liability coverage (Swiss Re Institute, 2023). This diversification supports financial stability and aligns with Malaysia’s ambition to position itself as a regional insurance and risk management hub under Labuan IBFC.</w:t>
      </w:r>
    </w:p>
    <w:p w14:paraId="60FBAACF" w14:textId="4B7D7A63" w:rsidR="00136983" w:rsidRPr="00136983" w:rsidRDefault="00136983" w:rsidP="00136983">
      <w:pPr>
        <w:spacing w:after="0" w:line="240" w:lineRule="auto"/>
        <w:jc w:val="both"/>
        <w:rPr>
          <w:rFonts w:ascii="Tahoma" w:eastAsia="Times New Roman" w:hAnsi="Tahoma" w:cs="Tahoma"/>
          <w:kern w:val="0"/>
          <w14:ligatures w14:val="none"/>
        </w:rPr>
      </w:pPr>
    </w:p>
    <w:p w14:paraId="642AFF30" w14:textId="77777777" w:rsidR="00FE38AF" w:rsidRDefault="00136983" w:rsidP="00FE38AF">
      <w:pPr>
        <w:spacing w:after="0" w:line="240" w:lineRule="auto"/>
        <w:jc w:val="both"/>
        <w:outlineLvl w:val="1"/>
        <w:rPr>
          <w:rFonts w:ascii="Tahoma" w:eastAsia="Times New Roman" w:hAnsi="Tahoma" w:cs="Tahoma"/>
          <w:b/>
          <w:bCs/>
          <w:kern w:val="0"/>
          <w14:ligatures w14:val="none"/>
        </w:rPr>
      </w:pPr>
      <w:r w:rsidRPr="00136983">
        <w:rPr>
          <w:rFonts w:ascii="Tahoma" w:eastAsia="Times New Roman" w:hAnsi="Tahoma" w:cs="Tahoma"/>
          <w:b/>
          <w:bCs/>
          <w:kern w:val="0"/>
          <w14:ligatures w14:val="none"/>
        </w:rPr>
        <w:t>5. Policy and Strategic Implications</w:t>
      </w:r>
    </w:p>
    <w:p w14:paraId="11CCD709" w14:textId="77777777" w:rsidR="00FE38AF" w:rsidRDefault="00FE38AF" w:rsidP="00FE38AF">
      <w:pPr>
        <w:spacing w:after="0" w:line="240" w:lineRule="auto"/>
        <w:jc w:val="both"/>
        <w:outlineLvl w:val="1"/>
        <w:rPr>
          <w:rFonts w:ascii="Tahoma" w:eastAsia="Times New Roman" w:hAnsi="Tahoma" w:cs="Tahoma"/>
          <w:b/>
          <w:bCs/>
          <w:kern w:val="0"/>
          <w14:ligatures w14:val="none"/>
        </w:rPr>
      </w:pPr>
    </w:p>
    <w:p w14:paraId="471E5831" w14:textId="608CBA1D" w:rsidR="00136983" w:rsidRPr="00136983" w:rsidRDefault="00136983" w:rsidP="00FE38AF">
      <w:pPr>
        <w:spacing w:after="0" w:line="240" w:lineRule="auto"/>
        <w:jc w:val="both"/>
        <w:outlineLvl w:val="1"/>
        <w:rPr>
          <w:rFonts w:ascii="Tahoma" w:eastAsia="Times New Roman" w:hAnsi="Tahoma" w:cs="Tahoma"/>
          <w:kern w:val="0"/>
          <w14:ligatures w14:val="none"/>
        </w:rPr>
      </w:pPr>
      <w:r w:rsidRPr="00136983">
        <w:rPr>
          <w:rFonts w:ascii="Tahoma" w:eastAsia="Times New Roman" w:hAnsi="Tahoma" w:cs="Tahoma"/>
          <w:kern w:val="0"/>
          <w14:ligatures w14:val="none"/>
        </w:rPr>
        <w:t>Malaysia’s economic trajectory toward 2026 depends on its ability to balance structural reforms, fiscal discipline, and inclusive growth. Several strategic implications emerge:</w:t>
      </w:r>
    </w:p>
    <w:p w14:paraId="722A1B07" w14:textId="77777777" w:rsidR="00136983" w:rsidRPr="00136983" w:rsidRDefault="00136983" w:rsidP="00136983">
      <w:pPr>
        <w:numPr>
          <w:ilvl w:val="0"/>
          <w:numId w:val="2"/>
        </w:num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Reform Sequencing: The government must synchronise subsidy rationalisation, tax reforms, and social protection measures to avoid inflationary shocks while preserving fiscal space.</w:t>
      </w:r>
    </w:p>
    <w:p w14:paraId="545BC378" w14:textId="77777777" w:rsidR="00136983" w:rsidRPr="00136983" w:rsidRDefault="00136983" w:rsidP="00136983">
      <w:pPr>
        <w:numPr>
          <w:ilvl w:val="0"/>
          <w:numId w:val="2"/>
        </w:num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Industrial Deepening: Achieving NIMP 2030’s goals requires coordinated investment in R&amp;D, automation, and green infrastructure. Partnerships with </w:t>
      </w:r>
      <w:r w:rsidRPr="00136983">
        <w:rPr>
          <w:rFonts w:ascii="Tahoma" w:eastAsia="Times New Roman" w:hAnsi="Tahoma" w:cs="Tahoma"/>
          <w:kern w:val="0"/>
          <w14:ligatures w14:val="none"/>
        </w:rPr>
        <w:lastRenderedPageBreak/>
        <w:t>multinational corporations within the JS-SEZ and through FTAs can accelerate technology transfer.</w:t>
      </w:r>
    </w:p>
    <w:p w14:paraId="5F66AA09" w14:textId="77777777" w:rsidR="00136983" w:rsidRPr="00136983" w:rsidRDefault="00136983" w:rsidP="00136983">
      <w:pPr>
        <w:numPr>
          <w:ilvl w:val="0"/>
          <w:numId w:val="2"/>
        </w:num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Sustainability and Digitalisation: The NETR and data-centre expansion should integrate renewable energy use and digital talent development to ensure long-term competitiveness.</w:t>
      </w:r>
    </w:p>
    <w:p w14:paraId="0095F424" w14:textId="77777777" w:rsidR="00136983" w:rsidRPr="00136983" w:rsidRDefault="00136983" w:rsidP="00136983">
      <w:pPr>
        <w:numPr>
          <w:ilvl w:val="0"/>
          <w:numId w:val="2"/>
        </w:num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Financial Prudence: Maintaining financial stability amid rising global rates requires continued vigilance in household and SME credit quality, coupled with macroprudential oversight.</w:t>
      </w:r>
    </w:p>
    <w:p w14:paraId="13C3A687" w14:textId="63673713" w:rsidR="00136983" w:rsidRPr="00136983" w:rsidRDefault="00136983" w:rsidP="00136983">
      <w:pPr>
        <w:spacing w:after="0" w:line="240" w:lineRule="auto"/>
        <w:jc w:val="both"/>
        <w:rPr>
          <w:rFonts w:ascii="Tahoma" w:eastAsia="Times New Roman" w:hAnsi="Tahoma" w:cs="Tahoma"/>
          <w:kern w:val="0"/>
          <w14:ligatures w14:val="none"/>
        </w:rPr>
      </w:pPr>
    </w:p>
    <w:p w14:paraId="10AE46E4" w14:textId="77777777" w:rsidR="00FE38AF" w:rsidRDefault="00FE38AF" w:rsidP="00136983">
      <w:pPr>
        <w:spacing w:after="0" w:line="240" w:lineRule="auto"/>
        <w:jc w:val="both"/>
        <w:outlineLvl w:val="1"/>
        <w:rPr>
          <w:rFonts w:ascii="Tahoma" w:eastAsia="Times New Roman" w:hAnsi="Tahoma" w:cs="Tahoma"/>
          <w:b/>
          <w:bCs/>
          <w:kern w:val="0"/>
          <w14:ligatures w14:val="none"/>
        </w:rPr>
      </w:pPr>
    </w:p>
    <w:p w14:paraId="6C7F1F0A" w14:textId="77777777" w:rsidR="00FE38AF" w:rsidRDefault="00FE38AF" w:rsidP="00136983">
      <w:pPr>
        <w:spacing w:after="0" w:line="240" w:lineRule="auto"/>
        <w:jc w:val="both"/>
        <w:outlineLvl w:val="1"/>
        <w:rPr>
          <w:rFonts w:ascii="Tahoma" w:eastAsia="Times New Roman" w:hAnsi="Tahoma" w:cs="Tahoma"/>
          <w:b/>
          <w:bCs/>
          <w:kern w:val="0"/>
          <w14:ligatures w14:val="none"/>
        </w:rPr>
      </w:pPr>
    </w:p>
    <w:p w14:paraId="401D2794" w14:textId="77777777" w:rsidR="00FE38AF" w:rsidRDefault="00FE38AF" w:rsidP="00136983">
      <w:pPr>
        <w:spacing w:after="0" w:line="240" w:lineRule="auto"/>
        <w:jc w:val="both"/>
        <w:outlineLvl w:val="1"/>
        <w:rPr>
          <w:rFonts w:ascii="Tahoma" w:eastAsia="Times New Roman" w:hAnsi="Tahoma" w:cs="Tahoma"/>
          <w:b/>
          <w:bCs/>
          <w:kern w:val="0"/>
          <w14:ligatures w14:val="none"/>
        </w:rPr>
      </w:pPr>
    </w:p>
    <w:p w14:paraId="53D84B48" w14:textId="63D6BCFD" w:rsidR="00136983" w:rsidRPr="00136983" w:rsidRDefault="00136983" w:rsidP="00136983">
      <w:pPr>
        <w:spacing w:after="0" w:line="240" w:lineRule="auto"/>
        <w:jc w:val="both"/>
        <w:outlineLvl w:val="1"/>
        <w:rPr>
          <w:rFonts w:ascii="Tahoma" w:eastAsia="Times New Roman" w:hAnsi="Tahoma" w:cs="Tahoma"/>
          <w:b/>
          <w:bCs/>
          <w:kern w:val="0"/>
          <w14:ligatures w14:val="none"/>
        </w:rPr>
      </w:pPr>
      <w:r w:rsidRPr="00136983">
        <w:rPr>
          <w:rFonts w:ascii="Tahoma" w:eastAsia="Times New Roman" w:hAnsi="Tahoma" w:cs="Tahoma"/>
          <w:b/>
          <w:bCs/>
          <w:kern w:val="0"/>
          <w14:ligatures w14:val="none"/>
        </w:rPr>
        <w:t>6. Future Economic Outlook for Malaysia in 2026: Commentary</w:t>
      </w:r>
    </w:p>
    <w:p w14:paraId="1CFE33DB" w14:textId="77777777" w:rsidR="00FE38AF" w:rsidRDefault="00FE38AF" w:rsidP="00136983">
      <w:pPr>
        <w:spacing w:after="0" w:line="240" w:lineRule="auto"/>
        <w:jc w:val="both"/>
        <w:rPr>
          <w:rFonts w:ascii="Tahoma" w:eastAsia="Times New Roman" w:hAnsi="Tahoma" w:cs="Tahoma"/>
          <w:kern w:val="0"/>
          <w14:ligatures w14:val="none"/>
        </w:rPr>
      </w:pPr>
    </w:p>
    <w:p w14:paraId="2BCCDE04" w14:textId="3984214C"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Looking ahead, Malaysia’s economy in 2026 is projected to grow between 4.5% and 5%, assuming global trade conditions stabilise and domestic policy execution remains consistent. The baseline scenario suggests continued support from private consumption and investment, aided by large infrastructure projects under NIMP 2030 and ongoing digital economy expansion.</w:t>
      </w:r>
    </w:p>
    <w:p w14:paraId="3D2FF1CA" w14:textId="77777777" w:rsidR="00FE38AF" w:rsidRDefault="00FE38AF" w:rsidP="00136983">
      <w:pPr>
        <w:spacing w:after="0" w:line="240" w:lineRule="auto"/>
        <w:jc w:val="both"/>
        <w:rPr>
          <w:rFonts w:ascii="Tahoma" w:eastAsia="Times New Roman" w:hAnsi="Tahoma" w:cs="Tahoma"/>
          <w:kern w:val="0"/>
          <w14:ligatures w14:val="none"/>
        </w:rPr>
      </w:pPr>
    </w:p>
    <w:p w14:paraId="6D6DFAF2" w14:textId="5F182AD4"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From my perspective, several trends will define Malaysia’s economic narrative in 2026:</w:t>
      </w:r>
    </w:p>
    <w:p w14:paraId="1DFC431E" w14:textId="77777777" w:rsidR="00FE38AF" w:rsidRDefault="00FE38AF" w:rsidP="00136983">
      <w:pPr>
        <w:spacing w:after="0" w:line="240" w:lineRule="auto"/>
        <w:jc w:val="both"/>
        <w:outlineLvl w:val="2"/>
        <w:rPr>
          <w:rFonts w:ascii="Tahoma" w:eastAsia="Times New Roman" w:hAnsi="Tahoma" w:cs="Tahoma"/>
          <w:b/>
          <w:bCs/>
          <w:kern w:val="0"/>
          <w14:ligatures w14:val="none"/>
        </w:rPr>
      </w:pPr>
    </w:p>
    <w:p w14:paraId="2F40F84C" w14:textId="735BA600"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6.1 Sustained Domestic Demand Amid Fiscal Reforms</w:t>
      </w:r>
    </w:p>
    <w:p w14:paraId="45161A00" w14:textId="77777777" w:rsidR="00060A9F" w:rsidRDefault="00060A9F" w:rsidP="00136983">
      <w:pPr>
        <w:spacing w:after="0" w:line="240" w:lineRule="auto"/>
        <w:jc w:val="both"/>
        <w:rPr>
          <w:rFonts w:ascii="Tahoma" w:eastAsia="Times New Roman" w:hAnsi="Tahoma" w:cs="Tahoma"/>
          <w:kern w:val="0"/>
          <w14:ligatures w14:val="none"/>
        </w:rPr>
      </w:pPr>
    </w:p>
    <w:p w14:paraId="6A82421D" w14:textId="4CDFE9B8"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Malaysia’s household consumption will remain resilient despite fiscal tightening, supported by targeted cash assistance and wage adjustments under the progressive wage policy. However, the implementation of targeted subsidies must be managed carefully to avoid public resistance or second-round inflationary effects.</w:t>
      </w:r>
    </w:p>
    <w:p w14:paraId="037F7CB5" w14:textId="77777777" w:rsidR="00060A9F" w:rsidRDefault="00060A9F" w:rsidP="00136983">
      <w:pPr>
        <w:spacing w:after="0" w:line="240" w:lineRule="auto"/>
        <w:jc w:val="both"/>
        <w:outlineLvl w:val="2"/>
        <w:rPr>
          <w:rFonts w:ascii="Tahoma" w:eastAsia="Times New Roman" w:hAnsi="Tahoma" w:cs="Tahoma"/>
          <w:b/>
          <w:bCs/>
          <w:kern w:val="0"/>
          <w14:ligatures w14:val="none"/>
        </w:rPr>
      </w:pPr>
    </w:p>
    <w:p w14:paraId="222F4FD1" w14:textId="34217B2F"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6.2 Transition to a Green and Digital Industrial Base</w:t>
      </w:r>
    </w:p>
    <w:p w14:paraId="4C4F8C24" w14:textId="77777777" w:rsidR="00060A9F" w:rsidRDefault="00060A9F" w:rsidP="00136983">
      <w:pPr>
        <w:spacing w:after="0" w:line="240" w:lineRule="auto"/>
        <w:jc w:val="both"/>
        <w:rPr>
          <w:rFonts w:ascii="Tahoma" w:eastAsia="Times New Roman" w:hAnsi="Tahoma" w:cs="Tahoma"/>
          <w:kern w:val="0"/>
          <w14:ligatures w14:val="none"/>
        </w:rPr>
      </w:pPr>
    </w:p>
    <w:p w14:paraId="0C15D361" w14:textId="7BF049E3"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By 2026, Malaysia’s green transition under the NETR will gain traction through renewable energy investments and carbon-trading frameworks. This shift will reposition Malaysia as a regional low-carbon manufacturing hub, attracting ESG-aligned capital inflows. Simultaneously, the AI and data-driven industries are expected to contribute more significantly to GDP, aligning with global technological megatrends.</w:t>
      </w:r>
    </w:p>
    <w:p w14:paraId="3D938987" w14:textId="77777777" w:rsidR="00060A9F" w:rsidRDefault="00060A9F" w:rsidP="00136983">
      <w:pPr>
        <w:spacing w:after="0" w:line="240" w:lineRule="auto"/>
        <w:jc w:val="both"/>
        <w:outlineLvl w:val="2"/>
        <w:rPr>
          <w:rFonts w:ascii="Tahoma" w:eastAsia="Times New Roman" w:hAnsi="Tahoma" w:cs="Tahoma"/>
          <w:b/>
          <w:bCs/>
          <w:kern w:val="0"/>
          <w14:ligatures w14:val="none"/>
        </w:rPr>
      </w:pPr>
    </w:p>
    <w:p w14:paraId="3C5AEA88" w14:textId="22C01287"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6.3 Regional Integration and Trade Diversification</w:t>
      </w:r>
    </w:p>
    <w:p w14:paraId="5B43437B" w14:textId="77777777" w:rsidR="00060A9F" w:rsidRDefault="00060A9F" w:rsidP="00136983">
      <w:pPr>
        <w:spacing w:after="0" w:line="240" w:lineRule="auto"/>
        <w:jc w:val="both"/>
        <w:rPr>
          <w:rFonts w:ascii="Tahoma" w:eastAsia="Times New Roman" w:hAnsi="Tahoma" w:cs="Tahoma"/>
          <w:kern w:val="0"/>
          <w14:ligatures w14:val="none"/>
        </w:rPr>
      </w:pPr>
    </w:p>
    <w:p w14:paraId="06E44963" w14:textId="600FDAA1"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The Johor-Singapore SEZ will likely serve as a major growth catalyst by integrating manufacturing, logistics, and services between the two economies. Trade diversification through deeper engagement with the EU, GCC, and East Asia will reduce overreliance on traditional markets like China and the U.S., enhancing Malaysia’s export resilience.</w:t>
      </w:r>
    </w:p>
    <w:p w14:paraId="66F62F0A" w14:textId="77777777" w:rsidR="00060A9F" w:rsidRDefault="00060A9F" w:rsidP="00136983">
      <w:pPr>
        <w:spacing w:after="0" w:line="240" w:lineRule="auto"/>
        <w:jc w:val="both"/>
        <w:outlineLvl w:val="2"/>
        <w:rPr>
          <w:rFonts w:ascii="Tahoma" w:eastAsia="Times New Roman" w:hAnsi="Tahoma" w:cs="Tahoma"/>
          <w:b/>
          <w:bCs/>
          <w:kern w:val="0"/>
          <w14:ligatures w14:val="none"/>
        </w:rPr>
      </w:pPr>
    </w:p>
    <w:p w14:paraId="7EE0169B" w14:textId="3E809C3A"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6.4 Financial and Capital Market Development</w:t>
      </w:r>
    </w:p>
    <w:p w14:paraId="3DA5404C" w14:textId="77777777" w:rsidR="00060A9F" w:rsidRDefault="00060A9F" w:rsidP="00136983">
      <w:pPr>
        <w:spacing w:after="0" w:line="240" w:lineRule="auto"/>
        <w:jc w:val="both"/>
        <w:rPr>
          <w:rFonts w:ascii="Tahoma" w:eastAsia="Times New Roman" w:hAnsi="Tahoma" w:cs="Tahoma"/>
          <w:kern w:val="0"/>
          <w14:ligatures w14:val="none"/>
        </w:rPr>
      </w:pPr>
    </w:p>
    <w:p w14:paraId="75D028A0" w14:textId="0D7787E6"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lastRenderedPageBreak/>
        <w:t>Malaysia’s financial markets are anticipated to experience stronger capital inflows in 2026 amid improving investor confidence and regional monetary easing. The continued development of Islamic finance, green bonds, and digital financial services will enhance market depth and align with Malaysia’s global leadership in sustainable finance.</w:t>
      </w:r>
    </w:p>
    <w:p w14:paraId="31168C2D" w14:textId="77777777" w:rsidR="00060A9F" w:rsidRDefault="00060A9F" w:rsidP="00136983">
      <w:pPr>
        <w:spacing w:after="0" w:line="240" w:lineRule="auto"/>
        <w:jc w:val="both"/>
        <w:outlineLvl w:val="2"/>
        <w:rPr>
          <w:rFonts w:ascii="Tahoma" w:eastAsia="Times New Roman" w:hAnsi="Tahoma" w:cs="Tahoma"/>
          <w:b/>
          <w:bCs/>
          <w:kern w:val="0"/>
          <w14:ligatures w14:val="none"/>
        </w:rPr>
      </w:pPr>
    </w:p>
    <w:p w14:paraId="4DB366C1" w14:textId="07A070DD" w:rsidR="00136983" w:rsidRPr="00136983" w:rsidRDefault="00136983" w:rsidP="00136983">
      <w:pPr>
        <w:spacing w:after="0" w:line="240" w:lineRule="auto"/>
        <w:jc w:val="both"/>
        <w:outlineLvl w:val="2"/>
        <w:rPr>
          <w:rFonts w:ascii="Tahoma" w:eastAsia="Times New Roman" w:hAnsi="Tahoma" w:cs="Tahoma"/>
          <w:b/>
          <w:bCs/>
          <w:kern w:val="0"/>
          <w14:ligatures w14:val="none"/>
        </w:rPr>
      </w:pPr>
      <w:r w:rsidRPr="00136983">
        <w:rPr>
          <w:rFonts w:ascii="Tahoma" w:eastAsia="Times New Roman" w:hAnsi="Tahoma" w:cs="Tahoma"/>
          <w:b/>
          <w:bCs/>
          <w:kern w:val="0"/>
          <w14:ligatures w14:val="none"/>
        </w:rPr>
        <w:t>6.5 Risk Factors and Policy Uncertainty</w:t>
      </w:r>
    </w:p>
    <w:p w14:paraId="7E05E4C7" w14:textId="77777777" w:rsidR="00060A9F" w:rsidRDefault="00060A9F" w:rsidP="00136983">
      <w:pPr>
        <w:spacing w:after="0" w:line="240" w:lineRule="auto"/>
        <w:jc w:val="both"/>
        <w:rPr>
          <w:rFonts w:ascii="Tahoma" w:eastAsia="Times New Roman" w:hAnsi="Tahoma" w:cs="Tahoma"/>
          <w:kern w:val="0"/>
          <w14:ligatures w14:val="none"/>
        </w:rPr>
      </w:pPr>
    </w:p>
    <w:p w14:paraId="7679D1DA" w14:textId="490C7589"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Nevertheless, several downside risks persist: (1) prolonged global monetary tightening, (2) escalation of trade tensions, (3) domestic political uncertainty affecting investor sentiment, and (4) climate-related shocks. Proactive fiscal management, institutional stability, and international engagement remain key to mitigating these vulnerabilities.</w:t>
      </w:r>
    </w:p>
    <w:p w14:paraId="3A748CEF" w14:textId="4326A898" w:rsidR="00136983" w:rsidRPr="00136983" w:rsidRDefault="00136983" w:rsidP="00136983">
      <w:pPr>
        <w:spacing w:after="0" w:line="240" w:lineRule="auto"/>
        <w:jc w:val="both"/>
        <w:rPr>
          <w:rFonts w:ascii="Tahoma" w:eastAsia="Times New Roman" w:hAnsi="Tahoma" w:cs="Tahoma"/>
          <w:kern w:val="0"/>
          <w14:ligatures w14:val="none"/>
        </w:rPr>
      </w:pPr>
    </w:p>
    <w:p w14:paraId="244F86AA" w14:textId="77777777" w:rsidR="00136983" w:rsidRPr="00136983" w:rsidRDefault="00136983" w:rsidP="00136983">
      <w:pPr>
        <w:spacing w:after="0" w:line="240" w:lineRule="auto"/>
        <w:jc w:val="both"/>
        <w:outlineLvl w:val="1"/>
        <w:rPr>
          <w:rFonts w:ascii="Tahoma" w:eastAsia="Times New Roman" w:hAnsi="Tahoma" w:cs="Tahoma"/>
          <w:b/>
          <w:bCs/>
          <w:kern w:val="0"/>
          <w14:ligatures w14:val="none"/>
        </w:rPr>
      </w:pPr>
      <w:r w:rsidRPr="00136983">
        <w:rPr>
          <w:rFonts w:ascii="Tahoma" w:eastAsia="Times New Roman" w:hAnsi="Tahoma" w:cs="Tahoma"/>
          <w:b/>
          <w:bCs/>
          <w:kern w:val="0"/>
          <w14:ligatures w14:val="none"/>
        </w:rPr>
        <w:t>7. Conclusion</w:t>
      </w:r>
    </w:p>
    <w:p w14:paraId="5B907E66" w14:textId="77777777" w:rsidR="00060A9F" w:rsidRDefault="00060A9F" w:rsidP="00136983">
      <w:pPr>
        <w:spacing w:after="0" w:line="240" w:lineRule="auto"/>
        <w:jc w:val="both"/>
        <w:rPr>
          <w:rFonts w:ascii="Tahoma" w:eastAsia="Times New Roman" w:hAnsi="Tahoma" w:cs="Tahoma"/>
          <w:kern w:val="0"/>
          <w14:ligatures w14:val="none"/>
        </w:rPr>
      </w:pPr>
    </w:p>
    <w:p w14:paraId="19EDF96F" w14:textId="3D1EA443"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In summary, the global economy remains resilient but vulnerable to persistent inflation, high interest rates, and geopolitical fragmentation. For Malaysia, 2025 represents a critical juncture to consolidate reforms, harness new industrial opportunities, and position itself within the evolving regional order. Looking toward 2026, Malaysia’s prospects are cautiously optimistic. With strong policy execution under NIMP 2030 and NETR, coupled with prudent fiscal and financial management, the nation is poised to sustain growth and transition toward a high-income, sustainable, and digitally driven economy.</w:t>
      </w:r>
    </w:p>
    <w:p w14:paraId="5986CA59" w14:textId="514DE3A6" w:rsidR="00136983" w:rsidRPr="00136983" w:rsidRDefault="00136983" w:rsidP="00136983">
      <w:pPr>
        <w:spacing w:after="0" w:line="240" w:lineRule="auto"/>
        <w:jc w:val="both"/>
        <w:rPr>
          <w:rFonts w:ascii="Tahoma" w:eastAsia="Times New Roman" w:hAnsi="Tahoma" w:cs="Tahoma"/>
          <w:kern w:val="0"/>
          <w14:ligatures w14:val="none"/>
        </w:rPr>
      </w:pPr>
    </w:p>
    <w:p w14:paraId="230DACEC" w14:textId="77777777" w:rsidR="00136983" w:rsidRPr="00136983" w:rsidRDefault="00136983" w:rsidP="00136983">
      <w:pPr>
        <w:spacing w:after="0" w:line="240" w:lineRule="auto"/>
        <w:jc w:val="both"/>
        <w:outlineLvl w:val="1"/>
        <w:rPr>
          <w:rFonts w:ascii="Tahoma" w:eastAsia="Times New Roman" w:hAnsi="Tahoma" w:cs="Tahoma"/>
          <w:b/>
          <w:bCs/>
          <w:kern w:val="0"/>
          <w14:ligatures w14:val="none"/>
        </w:rPr>
      </w:pPr>
      <w:r w:rsidRPr="00136983">
        <w:rPr>
          <w:rFonts w:ascii="Tahoma" w:eastAsia="Times New Roman" w:hAnsi="Tahoma" w:cs="Tahoma"/>
          <w:b/>
          <w:bCs/>
          <w:kern w:val="0"/>
          <w14:ligatures w14:val="none"/>
        </w:rPr>
        <w:t>References</w:t>
      </w:r>
    </w:p>
    <w:p w14:paraId="3320EA63" w14:textId="77777777" w:rsidR="00AE1DC5" w:rsidRDefault="00AE1DC5" w:rsidP="00136983">
      <w:pPr>
        <w:spacing w:after="0" w:line="240" w:lineRule="auto"/>
        <w:jc w:val="both"/>
        <w:rPr>
          <w:rFonts w:ascii="Tahoma" w:eastAsia="Times New Roman" w:hAnsi="Tahoma" w:cs="Tahoma"/>
          <w:kern w:val="0"/>
          <w14:ligatures w14:val="none"/>
        </w:rPr>
      </w:pPr>
    </w:p>
    <w:p w14:paraId="5EAFA57C" w14:textId="3321CF78"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Bank Negara Malaysia. (2024a). </w:t>
      </w:r>
      <w:r w:rsidRPr="00136983">
        <w:rPr>
          <w:rFonts w:ascii="Tahoma" w:eastAsia="Times New Roman" w:hAnsi="Tahoma" w:cs="Tahoma"/>
          <w:i/>
          <w:iCs/>
          <w:kern w:val="0"/>
          <w14:ligatures w14:val="none"/>
        </w:rPr>
        <w:t>Quarterly Bulletin, Fourth Quarter 2023.</w:t>
      </w:r>
      <w:r w:rsidRPr="00136983">
        <w:rPr>
          <w:rFonts w:ascii="Tahoma" w:eastAsia="Times New Roman" w:hAnsi="Tahoma" w:cs="Tahoma"/>
          <w:kern w:val="0"/>
          <w14:ligatures w14:val="none"/>
        </w:rPr>
        <w:t xml:space="preserve"> Kuala Lumpur: BNM.</w:t>
      </w:r>
    </w:p>
    <w:p w14:paraId="178340DF" w14:textId="77777777" w:rsidR="00AE1DC5" w:rsidRDefault="00AE1DC5" w:rsidP="00136983">
      <w:pPr>
        <w:spacing w:after="0" w:line="240" w:lineRule="auto"/>
        <w:jc w:val="both"/>
        <w:rPr>
          <w:rFonts w:ascii="Tahoma" w:eastAsia="Times New Roman" w:hAnsi="Tahoma" w:cs="Tahoma"/>
          <w:kern w:val="0"/>
          <w14:ligatures w14:val="none"/>
        </w:rPr>
      </w:pPr>
    </w:p>
    <w:p w14:paraId="136C7864" w14:textId="10CCAFDC"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International Monetary Fund. (2024a). </w:t>
      </w:r>
      <w:r w:rsidRPr="00136983">
        <w:rPr>
          <w:rFonts w:ascii="Tahoma" w:eastAsia="Times New Roman" w:hAnsi="Tahoma" w:cs="Tahoma"/>
          <w:i/>
          <w:iCs/>
          <w:kern w:val="0"/>
          <w14:ligatures w14:val="none"/>
        </w:rPr>
        <w:t>World Economic Outlook Update, January 2024: Steady but Slow.</w:t>
      </w:r>
      <w:r w:rsidRPr="00136983">
        <w:rPr>
          <w:rFonts w:ascii="Tahoma" w:eastAsia="Times New Roman" w:hAnsi="Tahoma" w:cs="Tahoma"/>
          <w:kern w:val="0"/>
          <w14:ligatures w14:val="none"/>
        </w:rPr>
        <w:t xml:space="preserve"> Washington, DC: IMF.</w:t>
      </w:r>
    </w:p>
    <w:p w14:paraId="741F7F59" w14:textId="77777777" w:rsidR="00AE1DC5" w:rsidRDefault="00AE1DC5" w:rsidP="00136983">
      <w:pPr>
        <w:spacing w:after="0" w:line="240" w:lineRule="auto"/>
        <w:jc w:val="both"/>
        <w:rPr>
          <w:rFonts w:ascii="Tahoma" w:eastAsia="Times New Roman" w:hAnsi="Tahoma" w:cs="Tahoma"/>
          <w:kern w:val="0"/>
          <w14:ligatures w14:val="none"/>
        </w:rPr>
      </w:pPr>
    </w:p>
    <w:p w14:paraId="43534ED9" w14:textId="215C7C76"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International Monetary Fund. (2024b). </w:t>
      </w:r>
      <w:r w:rsidRPr="00136983">
        <w:rPr>
          <w:rFonts w:ascii="Tahoma" w:eastAsia="Times New Roman" w:hAnsi="Tahoma" w:cs="Tahoma"/>
          <w:i/>
          <w:iCs/>
          <w:kern w:val="0"/>
          <w14:ligatures w14:val="none"/>
        </w:rPr>
        <w:t>Regional Economic Outlook: Asia and Pacific.</w:t>
      </w:r>
      <w:r w:rsidRPr="00136983">
        <w:rPr>
          <w:rFonts w:ascii="Tahoma" w:eastAsia="Times New Roman" w:hAnsi="Tahoma" w:cs="Tahoma"/>
          <w:kern w:val="0"/>
          <w14:ligatures w14:val="none"/>
        </w:rPr>
        <w:t xml:space="preserve"> Washington, DC: IMF.</w:t>
      </w:r>
    </w:p>
    <w:p w14:paraId="0B110D3A" w14:textId="77777777" w:rsidR="00AE1DC5" w:rsidRDefault="00AE1DC5" w:rsidP="00136983">
      <w:pPr>
        <w:spacing w:after="0" w:line="240" w:lineRule="auto"/>
        <w:jc w:val="both"/>
        <w:rPr>
          <w:rFonts w:ascii="Tahoma" w:eastAsia="Times New Roman" w:hAnsi="Tahoma" w:cs="Tahoma"/>
          <w:kern w:val="0"/>
          <w14:ligatures w14:val="none"/>
        </w:rPr>
      </w:pPr>
    </w:p>
    <w:p w14:paraId="6E04AF59" w14:textId="77657A48"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Kementerian Tenaga dan Sumber Asli (KETSA). (2024). </w:t>
      </w:r>
      <w:r w:rsidRPr="00136983">
        <w:rPr>
          <w:rFonts w:ascii="Tahoma" w:eastAsia="Times New Roman" w:hAnsi="Tahoma" w:cs="Tahoma"/>
          <w:i/>
          <w:iCs/>
          <w:kern w:val="0"/>
          <w14:ligatures w14:val="none"/>
        </w:rPr>
        <w:t>National Energy Transition Roadmap.</w:t>
      </w:r>
      <w:r w:rsidRPr="00136983">
        <w:rPr>
          <w:rFonts w:ascii="Tahoma" w:eastAsia="Times New Roman" w:hAnsi="Tahoma" w:cs="Tahoma"/>
          <w:kern w:val="0"/>
          <w14:ligatures w14:val="none"/>
        </w:rPr>
        <w:t xml:space="preserve"> Putrajaya: Government of Malaysia.</w:t>
      </w:r>
    </w:p>
    <w:p w14:paraId="194B0F11" w14:textId="77777777" w:rsidR="00AE1DC5" w:rsidRDefault="00AE1DC5" w:rsidP="00136983">
      <w:pPr>
        <w:spacing w:after="0" w:line="240" w:lineRule="auto"/>
        <w:jc w:val="both"/>
        <w:rPr>
          <w:rFonts w:ascii="Tahoma" w:eastAsia="Times New Roman" w:hAnsi="Tahoma" w:cs="Tahoma"/>
          <w:kern w:val="0"/>
          <w14:ligatures w14:val="none"/>
        </w:rPr>
      </w:pPr>
    </w:p>
    <w:p w14:paraId="44C7E557" w14:textId="2835214B"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Ministry of Finance Malaysia. (2024). </w:t>
      </w:r>
      <w:r w:rsidRPr="00136983">
        <w:rPr>
          <w:rFonts w:ascii="Tahoma" w:eastAsia="Times New Roman" w:hAnsi="Tahoma" w:cs="Tahoma"/>
          <w:i/>
          <w:iCs/>
          <w:kern w:val="0"/>
          <w14:ligatures w14:val="none"/>
        </w:rPr>
        <w:t>Fiscal Outlook and Federal Government Revenue Estimates 2024.</w:t>
      </w:r>
      <w:r w:rsidRPr="00136983">
        <w:rPr>
          <w:rFonts w:ascii="Tahoma" w:eastAsia="Times New Roman" w:hAnsi="Tahoma" w:cs="Tahoma"/>
          <w:kern w:val="0"/>
          <w14:ligatures w14:val="none"/>
        </w:rPr>
        <w:t xml:space="preserve"> Putrajaya: MOF.</w:t>
      </w:r>
    </w:p>
    <w:p w14:paraId="2D97D979" w14:textId="77777777" w:rsidR="00AE1DC5" w:rsidRDefault="00AE1DC5" w:rsidP="00136983">
      <w:pPr>
        <w:spacing w:after="0" w:line="240" w:lineRule="auto"/>
        <w:jc w:val="both"/>
        <w:rPr>
          <w:rFonts w:ascii="Tahoma" w:eastAsia="Times New Roman" w:hAnsi="Tahoma" w:cs="Tahoma"/>
          <w:kern w:val="0"/>
          <w14:ligatures w14:val="none"/>
        </w:rPr>
      </w:pPr>
    </w:p>
    <w:p w14:paraId="43B605C2" w14:textId="6F8DCA54"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Ministry of Investment, Trade and Industry (MITI). (2023). </w:t>
      </w:r>
      <w:r w:rsidRPr="00136983">
        <w:rPr>
          <w:rFonts w:ascii="Tahoma" w:eastAsia="Times New Roman" w:hAnsi="Tahoma" w:cs="Tahoma"/>
          <w:i/>
          <w:iCs/>
          <w:kern w:val="0"/>
          <w14:ligatures w14:val="none"/>
        </w:rPr>
        <w:t>New Industrial Master Plan 2030.</w:t>
      </w:r>
      <w:r w:rsidRPr="00136983">
        <w:rPr>
          <w:rFonts w:ascii="Tahoma" w:eastAsia="Times New Roman" w:hAnsi="Tahoma" w:cs="Tahoma"/>
          <w:kern w:val="0"/>
          <w14:ligatures w14:val="none"/>
        </w:rPr>
        <w:t xml:space="preserve"> Putrajaya: MITI.</w:t>
      </w:r>
    </w:p>
    <w:p w14:paraId="5D61F0AD" w14:textId="77777777" w:rsidR="00AE1DC5" w:rsidRDefault="00AE1DC5" w:rsidP="00136983">
      <w:pPr>
        <w:spacing w:after="0" w:line="240" w:lineRule="auto"/>
        <w:jc w:val="both"/>
        <w:rPr>
          <w:rFonts w:ascii="Tahoma" w:eastAsia="Times New Roman" w:hAnsi="Tahoma" w:cs="Tahoma"/>
          <w:kern w:val="0"/>
          <w14:ligatures w14:val="none"/>
        </w:rPr>
      </w:pPr>
    </w:p>
    <w:p w14:paraId="3907C46F" w14:textId="357ED298"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Organisation for Economic Co-operation and Development. (2024). </w:t>
      </w:r>
      <w:r w:rsidRPr="00136983">
        <w:rPr>
          <w:rFonts w:ascii="Tahoma" w:eastAsia="Times New Roman" w:hAnsi="Tahoma" w:cs="Tahoma"/>
          <w:i/>
          <w:iCs/>
          <w:kern w:val="0"/>
          <w14:ligatures w14:val="none"/>
        </w:rPr>
        <w:t>OECD Economic Outlook Interim Report, February 2024.</w:t>
      </w:r>
      <w:r w:rsidRPr="00136983">
        <w:rPr>
          <w:rFonts w:ascii="Tahoma" w:eastAsia="Times New Roman" w:hAnsi="Tahoma" w:cs="Tahoma"/>
          <w:kern w:val="0"/>
          <w14:ligatures w14:val="none"/>
        </w:rPr>
        <w:t xml:space="preserve"> Paris: OECD Publishing.</w:t>
      </w:r>
    </w:p>
    <w:p w14:paraId="6C123473" w14:textId="77777777" w:rsidR="00AE1DC5" w:rsidRDefault="00AE1DC5" w:rsidP="00136983">
      <w:pPr>
        <w:spacing w:after="0" w:line="240" w:lineRule="auto"/>
        <w:jc w:val="both"/>
        <w:rPr>
          <w:rFonts w:ascii="Tahoma" w:eastAsia="Times New Roman" w:hAnsi="Tahoma" w:cs="Tahoma"/>
          <w:kern w:val="0"/>
          <w14:ligatures w14:val="none"/>
        </w:rPr>
      </w:pPr>
    </w:p>
    <w:p w14:paraId="7A07B1CF" w14:textId="115B066D"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S&amp;P Global Ratings. (2024). </w:t>
      </w:r>
      <w:r w:rsidRPr="00136983">
        <w:rPr>
          <w:rFonts w:ascii="Tahoma" w:eastAsia="Times New Roman" w:hAnsi="Tahoma" w:cs="Tahoma"/>
          <w:i/>
          <w:iCs/>
          <w:kern w:val="0"/>
          <w14:ligatures w14:val="none"/>
        </w:rPr>
        <w:t>Global Banks Outlook 2024.</w:t>
      </w:r>
      <w:r w:rsidRPr="00136983">
        <w:rPr>
          <w:rFonts w:ascii="Tahoma" w:eastAsia="Times New Roman" w:hAnsi="Tahoma" w:cs="Tahoma"/>
          <w:kern w:val="0"/>
          <w14:ligatures w14:val="none"/>
        </w:rPr>
        <w:t xml:space="preserve"> New York: S&amp;P Global.</w:t>
      </w:r>
    </w:p>
    <w:p w14:paraId="055757B3" w14:textId="77777777" w:rsidR="00AE1DC5" w:rsidRDefault="00AE1DC5" w:rsidP="00136983">
      <w:pPr>
        <w:spacing w:after="0" w:line="240" w:lineRule="auto"/>
        <w:jc w:val="both"/>
        <w:rPr>
          <w:rFonts w:ascii="Tahoma" w:eastAsia="Times New Roman" w:hAnsi="Tahoma" w:cs="Tahoma"/>
          <w:kern w:val="0"/>
          <w14:ligatures w14:val="none"/>
        </w:rPr>
      </w:pPr>
    </w:p>
    <w:p w14:paraId="143D4A16" w14:textId="11730A1B"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Swiss Re Institute. (2023). </w:t>
      </w:r>
      <w:r w:rsidRPr="00136983">
        <w:rPr>
          <w:rFonts w:ascii="Tahoma" w:eastAsia="Times New Roman" w:hAnsi="Tahoma" w:cs="Tahoma"/>
          <w:i/>
          <w:iCs/>
          <w:kern w:val="0"/>
          <w14:ligatures w14:val="none"/>
        </w:rPr>
        <w:t>sigma No. 3/2023: World Insurance: Strength Through Adversity.</w:t>
      </w:r>
      <w:r w:rsidRPr="00136983">
        <w:rPr>
          <w:rFonts w:ascii="Tahoma" w:eastAsia="Times New Roman" w:hAnsi="Tahoma" w:cs="Tahoma"/>
          <w:kern w:val="0"/>
          <w14:ligatures w14:val="none"/>
        </w:rPr>
        <w:t xml:space="preserve"> Zurich: Swiss Re.</w:t>
      </w:r>
    </w:p>
    <w:p w14:paraId="6984E22F" w14:textId="77777777" w:rsidR="00AE1DC5" w:rsidRDefault="00AE1DC5" w:rsidP="00136983">
      <w:pPr>
        <w:spacing w:after="0" w:line="240" w:lineRule="auto"/>
        <w:jc w:val="both"/>
        <w:rPr>
          <w:rFonts w:ascii="Tahoma" w:eastAsia="Times New Roman" w:hAnsi="Tahoma" w:cs="Tahoma"/>
          <w:kern w:val="0"/>
          <w14:ligatures w14:val="none"/>
        </w:rPr>
      </w:pPr>
    </w:p>
    <w:p w14:paraId="0E4FF973" w14:textId="02CC0FC0"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Tourism Malaysia. (2024). </w:t>
      </w:r>
      <w:r w:rsidRPr="00136983">
        <w:rPr>
          <w:rFonts w:ascii="Tahoma" w:eastAsia="Times New Roman" w:hAnsi="Tahoma" w:cs="Tahoma"/>
          <w:i/>
          <w:iCs/>
          <w:kern w:val="0"/>
          <w14:ligatures w14:val="none"/>
        </w:rPr>
        <w:t>Malaysia Healthcare Travel Industry Performance Report 2023.</w:t>
      </w:r>
      <w:r w:rsidRPr="00136983">
        <w:rPr>
          <w:rFonts w:ascii="Tahoma" w:eastAsia="Times New Roman" w:hAnsi="Tahoma" w:cs="Tahoma"/>
          <w:kern w:val="0"/>
          <w14:ligatures w14:val="none"/>
        </w:rPr>
        <w:t xml:space="preserve"> Kuala Lumpur: Malaysia Healthcare Travel Council.</w:t>
      </w:r>
    </w:p>
    <w:p w14:paraId="7A038210" w14:textId="77777777" w:rsidR="00AE1DC5" w:rsidRDefault="00AE1DC5" w:rsidP="00136983">
      <w:pPr>
        <w:spacing w:after="0" w:line="240" w:lineRule="auto"/>
        <w:jc w:val="both"/>
        <w:rPr>
          <w:rFonts w:ascii="Tahoma" w:eastAsia="Times New Roman" w:hAnsi="Tahoma" w:cs="Tahoma"/>
          <w:kern w:val="0"/>
          <w14:ligatures w14:val="none"/>
        </w:rPr>
      </w:pPr>
    </w:p>
    <w:p w14:paraId="2D2160E2" w14:textId="29E61013"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World Bank. (2024a). </w:t>
      </w:r>
      <w:r w:rsidRPr="00136983">
        <w:rPr>
          <w:rFonts w:ascii="Tahoma" w:eastAsia="Times New Roman" w:hAnsi="Tahoma" w:cs="Tahoma"/>
          <w:i/>
          <w:iCs/>
          <w:kern w:val="0"/>
          <w14:ligatures w14:val="none"/>
        </w:rPr>
        <w:t>Global Economic Prospects, January 2024.</w:t>
      </w:r>
      <w:r w:rsidRPr="00136983">
        <w:rPr>
          <w:rFonts w:ascii="Tahoma" w:eastAsia="Times New Roman" w:hAnsi="Tahoma" w:cs="Tahoma"/>
          <w:kern w:val="0"/>
          <w14:ligatures w14:val="none"/>
        </w:rPr>
        <w:t xml:space="preserve"> Washington, DC: World Bank.</w:t>
      </w:r>
    </w:p>
    <w:p w14:paraId="1B64C11D" w14:textId="77777777" w:rsidR="00AE1DC5" w:rsidRDefault="00AE1DC5" w:rsidP="00136983">
      <w:pPr>
        <w:spacing w:after="0" w:line="240" w:lineRule="auto"/>
        <w:jc w:val="both"/>
        <w:rPr>
          <w:rFonts w:ascii="Tahoma" w:eastAsia="Times New Roman" w:hAnsi="Tahoma" w:cs="Tahoma"/>
          <w:kern w:val="0"/>
          <w14:ligatures w14:val="none"/>
        </w:rPr>
      </w:pPr>
    </w:p>
    <w:p w14:paraId="748E891A" w14:textId="73A1A5DB" w:rsidR="00136983" w:rsidRPr="00136983" w:rsidRDefault="00136983" w:rsidP="00136983">
      <w:pPr>
        <w:spacing w:after="0" w:line="240" w:lineRule="auto"/>
        <w:jc w:val="both"/>
        <w:rPr>
          <w:rFonts w:ascii="Tahoma" w:eastAsia="Times New Roman" w:hAnsi="Tahoma" w:cs="Tahoma"/>
          <w:kern w:val="0"/>
          <w14:ligatures w14:val="none"/>
        </w:rPr>
      </w:pPr>
      <w:r w:rsidRPr="00136983">
        <w:rPr>
          <w:rFonts w:ascii="Tahoma" w:eastAsia="Times New Roman" w:hAnsi="Tahoma" w:cs="Tahoma"/>
          <w:kern w:val="0"/>
          <w14:ligatures w14:val="none"/>
        </w:rPr>
        <w:t xml:space="preserve">World Bank. (2024b). </w:t>
      </w:r>
      <w:r w:rsidRPr="00136983">
        <w:rPr>
          <w:rFonts w:ascii="Tahoma" w:eastAsia="Times New Roman" w:hAnsi="Tahoma" w:cs="Tahoma"/>
          <w:i/>
          <w:iCs/>
          <w:kern w:val="0"/>
          <w14:ligatures w14:val="none"/>
        </w:rPr>
        <w:t>Malaysia Economic Monitor: Navigating Fiscal Reforms.</w:t>
      </w:r>
      <w:r w:rsidRPr="00136983">
        <w:rPr>
          <w:rFonts w:ascii="Tahoma" w:eastAsia="Times New Roman" w:hAnsi="Tahoma" w:cs="Tahoma"/>
          <w:kern w:val="0"/>
          <w14:ligatures w14:val="none"/>
        </w:rPr>
        <w:t xml:space="preserve"> Washington, DC: World Bank.</w:t>
      </w:r>
    </w:p>
    <w:p w14:paraId="12342E8C" w14:textId="77777777" w:rsidR="00136983" w:rsidRPr="00136983" w:rsidRDefault="00136983" w:rsidP="00136983">
      <w:pPr>
        <w:spacing w:after="0" w:line="240" w:lineRule="auto"/>
        <w:jc w:val="both"/>
        <w:rPr>
          <w:rFonts w:ascii="Tahoma" w:hAnsi="Tahoma" w:cs="Tahoma"/>
        </w:rPr>
      </w:pPr>
    </w:p>
    <w:sectPr w:rsidR="00136983" w:rsidRPr="0013698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CF09E5"/>
    <w:multiLevelType w:val="multilevel"/>
    <w:tmpl w:val="B20E4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CA97D96"/>
    <w:multiLevelType w:val="multilevel"/>
    <w:tmpl w:val="6192AE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11360674">
    <w:abstractNumId w:val="0"/>
  </w:num>
  <w:num w:numId="2" w16cid:durableId="207626995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6983"/>
    <w:rsid w:val="00060A9F"/>
    <w:rsid w:val="00136983"/>
    <w:rsid w:val="0026136C"/>
    <w:rsid w:val="002D44E8"/>
    <w:rsid w:val="002E4346"/>
    <w:rsid w:val="00327C10"/>
    <w:rsid w:val="003964F6"/>
    <w:rsid w:val="003A4093"/>
    <w:rsid w:val="00551FE9"/>
    <w:rsid w:val="0062577D"/>
    <w:rsid w:val="00771C51"/>
    <w:rsid w:val="00775A65"/>
    <w:rsid w:val="0093295C"/>
    <w:rsid w:val="00951939"/>
    <w:rsid w:val="00A058BD"/>
    <w:rsid w:val="00A119B0"/>
    <w:rsid w:val="00A22785"/>
    <w:rsid w:val="00A441FF"/>
    <w:rsid w:val="00AB1393"/>
    <w:rsid w:val="00AE1DC5"/>
    <w:rsid w:val="00B12F9E"/>
    <w:rsid w:val="00B81BF3"/>
    <w:rsid w:val="00BC104A"/>
    <w:rsid w:val="00BE463E"/>
    <w:rsid w:val="00FE38AF"/>
  </w:rsids>
  <m:mathPr>
    <m:mathFont m:val="Cambria Math"/>
    <m:brkBin m:val="before"/>
    <m:brkBinSub m:val="--"/>
    <m:smallFrac m:val="0"/>
    <m:dispDef/>
    <m:lMargin m:val="0"/>
    <m:rMargin m:val="0"/>
    <m:defJc m:val="centerGroup"/>
    <m:wrapIndent m:val="1440"/>
    <m:intLim m:val="subSup"/>
    <m:naryLim m:val="undOvr"/>
  </m:mathPr>
  <w:themeFontLang w:val="en-MY"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D0E57"/>
  <w15:chartTrackingRefBased/>
  <w15:docId w15:val="{3C212A5B-A484-40A5-88E3-C82BDC823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MY"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3698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13698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3698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3698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13698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13698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3698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3698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3698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698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13698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3698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3698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3698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3698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3698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3698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36983"/>
    <w:rPr>
      <w:rFonts w:eastAsiaTheme="majorEastAsia" w:cstheme="majorBidi"/>
      <w:color w:val="272727" w:themeColor="text1" w:themeTint="D8"/>
    </w:rPr>
  </w:style>
  <w:style w:type="paragraph" w:styleId="Title">
    <w:name w:val="Title"/>
    <w:basedOn w:val="Normal"/>
    <w:next w:val="Normal"/>
    <w:link w:val="TitleChar"/>
    <w:uiPriority w:val="10"/>
    <w:qFormat/>
    <w:rsid w:val="0013698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3698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3698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3698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36983"/>
    <w:pPr>
      <w:spacing w:before="160"/>
      <w:jc w:val="center"/>
    </w:pPr>
    <w:rPr>
      <w:i/>
      <w:iCs/>
      <w:color w:val="404040" w:themeColor="text1" w:themeTint="BF"/>
    </w:rPr>
  </w:style>
  <w:style w:type="character" w:customStyle="1" w:styleId="QuoteChar">
    <w:name w:val="Quote Char"/>
    <w:basedOn w:val="DefaultParagraphFont"/>
    <w:link w:val="Quote"/>
    <w:uiPriority w:val="29"/>
    <w:rsid w:val="00136983"/>
    <w:rPr>
      <w:i/>
      <w:iCs/>
      <w:color w:val="404040" w:themeColor="text1" w:themeTint="BF"/>
    </w:rPr>
  </w:style>
  <w:style w:type="paragraph" w:styleId="ListParagraph">
    <w:name w:val="List Paragraph"/>
    <w:basedOn w:val="Normal"/>
    <w:uiPriority w:val="34"/>
    <w:qFormat/>
    <w:rsid w:val="00136983"/>
    <w:pPr>
      <w:ind w:left="720"/>
      <w:contextualSpacing/>
    </w:pPr>
  </w:style>
  <w:style w:type="character" w:styleId="IntenseEmphasis">
    <w:name w:val="Intense Emphasis"/>
    <w:basedOn w:val="DefaultParagraphFont"/>
    <w:uiPriority w:val="21"/>
    <w:qFormat/>
    <w:rsid w:val="00136983"/>
    <w:rPr>
      <w:i/>
      <w:iCs/>
      <w:color w:val="2F5496" w:themeColor="accent1" w:themeShade="BF"/>
    </w:rPr>
  </w:style>
  <w:style w:type="paragraph" w:styleId="IntenseQuote">
    <w:name w:val="Intense Quote"/>
    <w:basedOn w:val="Normal"/>
    <w:next w:val="Normal"/>
    <w:link w:val="IntenseQuoteChar"/>
    <w:uiPriority w:val="30"/>
    <w:qFormat/>
    <w:rsid w:val="0013698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36983"/>
    <w:rPr>
      <w:i/>
      <w:iCs/>
      <w:color w:val="2F5496" w:themeColor="accent1" w:themeShade="BF"/>
    </w:rPr>
  </w:style>
  <w:style w:type="character" w:styleId="IntenseReference">
    <w:name w:val="Intense Reference"/>
    <w:basedOn w:val="DefaultParagraphFont"/>
    <w:uiPriority w:val="32"/>
    <w:qFormat/>
    <w:rsid w:val="0013698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91E9EC5245A0A47B44381112A3AE9A7" ma:contentTypeVersion="11" ma:contentTypeDescription="Create a new document." ma:contentTypeScope="" ma:versionID="c175bc002d2989cd829f69f0cc9e3d48">
  <xsd:schema xmlns:xsd="http://www.w3.org/2001/XMLSchema" xmlns:xs="http://www.w3.org/2001/XMLSchema" xmlns:p="http://schemas.microsoft.com/office/2006/metadata/properties" xmlns:ns3="cb64be68-5f23-46d0-bdbb-92dc6a96af81" xmlns:ns4="9e60a961-6c71-4eff-a3b4-4566818bffc0" targetNamespace="http://schemas.microsoft.com/office/2006/metadata/properties" ma:root="true" ma:fieldsID="b0e654c6255079eadf3570cd85fd2b68" ns3:_="" ns4:_="">
    <xsd:import namespace="cb64be68-5f23-46d0-bdbb-92dc6a96af81"/>
    <xsd:import namespace="9e60a961-6c71-4eff-a3b4-4566818bffc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_activity" minOccurs="0"/>
                <xsd:element ref="ns4:SharedWithUsers" minOccurs="0"/>
                <xsd:element ref="ns4:SharedWithDetails" minOccurs="0"/>
                <xsd:element ref="ns4:SharingHintHash"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64be68-5f23-46d0-bdbb-92dc6a96af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_activity" ma:index="13" nillable="true" ma:displayName="_activity" ma:hidden="true" ma:internalName="_activity">
      <xsd:simpleType>
        <xsd:restriction base="dms:Note"/>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e60a961-6c71-4eff-a3b4-4566818bffc0"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cb64be68-5f23-46d0-bdbb-92dc6a96af81" xsi:nil="true"/>
  </documentManagement>
</p:properties>
</file>

<file path=customXml/itemProps1.xml><?xml version="1.0" encoding="utf-8"?>
<ds:datastoreItem xmlns:ds="http://schemas.openxmlformats.org/officeDocument/2006/customXml" ds:itemID="{02B3BB4E-BBB0-498E-8FDA-E1069ACF46A9}">
  <ds:schemaRefs>
    <ds:schemaRef ds:uri="http://schemas.microsoft.com/sharepoint/v3/contenttype/forms"/>
  </ds:schemaRefs>
</ds:datastoreItem>
</file>

<file path=customXml/itemProps2.xml><?xml version="1.0" encoding="utf-8"?>
<ds:datastoreItem xmlns:ds="http://schemas.openxmlformats.org/officeDocument/2006/customXml" ds:itemID="{60A48A2E-BE88-44D9-AEDF-454C6B9151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64be68-5f23-46d0-bdbb-92dc6a96af81"/>
    <ds:schemaRef ds:uri="9e60a961-6c71-4eff-a3b4-4566818bff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72EA6-631E-40DC-9E67-25C5E958626F}">
  <ds:schemaRefs>
    <ds:schemaRef ds:uri="http://purl.org/dc/elements/1.1/"/>
    <ds:schemaRef ds:uri="9e60a961-6c71-4eff-a3b4-4566818bffc0"/>
    <ds:schemaRef ds:uri="http://purl.org/dc/dcmitype/"/>
    <ds:schemaRef ds:uri="http://www.w3.org/XML/1998/namespace"/>
    <ds:schemaRef ds:uri="http://schemas.microsoft.com/office/2006/metadata/properties"/>
    <ds:schemaRef ds:uri="cb64be68-5f23-46d0-bdbb-92dc6a96af81"/>
    <ds:schemaRef ds:uri="http://schemas.microsoft.com/office/2006/documentManagement/types"/>
    <ds:schemaRef ds:uri="http://schemas.microsoft.com/office/infopath/2007/PartnerControls"/>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2317</Words>
  <Characters>13213</Characters>
  <Application>Microsoft Office Word</Application>
  <DocSecurity>0</DocSecurity>
  <Lines>110</Lines>
  <Paragraphs>30</Paragraphs>
  <ScaleCrop>false</ScaleCrop>
  <Company/>
  <LinksUpToDate>false</LinksUpToDate>
  <CharactersWithSpaces>15500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RICKY CHIA CHEE JIUN</dc:creator>
  <cp:keywords/>
  <dc:description/>
  <cp:lastModifiedBy>RICKY CHIA CHEE JIUN</cp:lastModifiedBy>
  <cp:revision>2</cp:revision>
  <dcterms:created xsi:type="dcterms:W3CDTF">2025-11-05T02:08:00Z</dcterms:created>
  <dcterms:modified xsi:type="dcterms:W3CDTF">2025-11-05T02:08:00Z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0x010100491E9EC5245A0A47B44381112A3AE9A7</vt:lpwstr>
  </property>
</Properties>
</file>